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505A3" w14:textId="15B2AC23" w:rsidR="00B43FA4" w:rsidRPr="00CA6930" w:rsidRDefault="00314FAD" w:rsidP="00CA6930">
      <w:pPr>
        <w:spacing w:line="276" w:lineRule="auto"/>
        <w:rPr>
          <w:rFonts w:ascii="Arial" w:hAnsi="Arial" w:cs="Arial"/>
          <w:sz w:val="22"/>
          <w:szCs w:val="22"/>
        </w:rPr>
        <w:sectPr w:rsidR="00B43FA4" w:rsidRPr="00CA6930" w:rsidSect="001D5297">
          <w:pgSz w:w="11906" w:h="16838"/>
          <w:pgMar w:top="1985" w:right="1440" w:bottom="1440" w:left="1440" w:header="709" w:footer="709" w:gutter="0"/>
          <w:cols w:space="708"/>
          <w:docGrid w:linePitch="360"/>
        </w:sectPr>
      </w:pPr>
      <w:r w:rsidRPr="00CA6930">
        <w:rPr>
          <w:rFonts w:ascii="Arial" w:hAnsi="Arial" w:cs="Arial"/>
          <w:noProof/>
          <w:sz w:val="22"/>
          <w:szCs w:val="22"/>
        </w:rPr>
        <mc:AlternateContent>
          <mc:Choice Requires="wps">
            <w:drawing>
              <wp:anchor distT="0" distB="0" distL="114300" distR="114300" simplePos="0" relativeHeight="251658242" behindDoc="0" locked="0" layoutInCell="1" allowOverlap="1" wp14:anchorId="2E9A14CD" wp14:editId="2FA27017">
                <wp:simplePos x="0" y="0"/>
                <wp:positionH relativeFrom="page">
                  <wp:posOffset>-2535767</wp:posOffset>
                </wp:positionH>
                <wp:positionV relativeFrom="paragraph">
                  <wp:posOffset>542924</wp:posOffset>
                </wp:positionV>
                <wp:extent cx="10071100" cy="7615343"/>
                <wp:effectExtent l="0" t="0" r="6350" b="5080"/>
                <wp:wrapNone/>
                <wp:docPr id="188" name="Rectangle 188"/>
                <wp:cNvGraphicFramePr/>
                <a:graphic xmlns:a="http://schemas.openxmlformats.org/drawingml/2006/main">
                  <a:graphicData uri="http://schemas.microsoft.com/office/word/2010/wordprocessingShape">
                    <wps:wsp>
                      <wps:cNvSpPr/>
                      <wps:spPr>
                        <a:xfrm>
                          <a:off x="0" y="0"/>
                          <a:ext cx="10071100" cy="7615343"/>
                        </a:xfrm>
                        <a:prstGeom prst="rect">
                          <a:avLst/>
                        </a:prstGeom>
                        <a:solidFill>
                          <a:srgbClr val="4C6380">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C11BF6" id="Rectangle 188" o:spid="_x0000_s1026" style="position:absolute;margin-left:-199.65pt;margin-top:42.75pt;width:793pt;height:599.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" fillcolor="#4c6380" stroked="f" strokeweight="1pt">
                <v:fill opacity="55769f"/>
                <w10:wrap anchorx="page"/>
              </v:rect>
            </w:pict>
          </mc:Fallback>
        </mc:AlternateContent>
      </w:r>
      <w:r w:rsidR="00FB7BCF" w:rsidRPr="00CA6930">
        <w:rPr>
          <w:rFonts w:ascii="Arial" w:hAnsi="Arial" w:cs="Arial"/>
          <w:noProof/>
          <w:sz w:val="22"/>
          <w:szCs w:val="22"/>
        </w:rPr>
        <mc:AlternateContent>
          <mc:Choice Requires="wps">
            <w:drawing>
              <wp:anchor distT="0" distB="0" distL="114300" distR="114300" simplePos="0" relativeHeight="251658243" behindDoc="0" locked="0" layoutInCell="1" allowOverlap="1" wp14:anchorId="307CC49B" wp14:editId="3FC6089E">
                <wp:simplePos x="0" y="0"/>
                <wp:positionH relativeFrom="column">
                  <wp:posOffset>-565150</wp:posOffset>
                </wp:positionH>
                <wp:positionV relativeFrom="paragraph">
                  <wp:posOffset>2853055</wp:posOffset>
                </wp:positionV>
                <wp:extent cx="6394450" cy="3870960"/>
                <wp:effectExtent l="0" t="0" r="0" b="0"/>
                <wp:wrapNone/>
                <wp:docPr id="189" name="Text Box 189"/>
                <wp:cNvGraphicFramePr/>
                <a:graphic xmlns:a="http://schemas.openxmlformats.org/drawingml/2006/main">
                  <a:graphicData uri="http://schemas.microsoft.com/office/word/2010/wordprocessingShape">
                    <wps:wsp>
                      <wps:cNvSpPr txBox="1"/>
                      <wps:spPr>
                        <a:xfrm>
                          <a:off x="0" y="0"/>
                          <a:ext cx="6394450" cy="3870960"/>
                        </a:xfrm>
                        <a:prstGeom prst="rect">
                          <a:avLst/>
                        </a:prstGeom>
                        <a:noFill/>
                        <a:ln w="6350">
                          <a:noFill/>
                        </a:ln>
                      </wps:spPr>
                      <wps:txbx>
                        <w:txbxContent>
                          <w:p w14:paraId="7CEE9C8C" w14:textId="1E849284" w:rsidR="00CA6930" w:rsidRPr="00076607" w:rsidRDefault="00024314" w:rsidP="00863053">
                            <w:pPr>
                              <w:widowControl w:val="0"/>
                              <w:rPr>
                                <w:rFonts w:ascii="Arial" w:hAnsi="Arial" w:cs="Arial"/>
                                <w:b/>
                                <w:bCs/>
                                <w:color w:val="FFFFFF" w:themeColor="background1"/>
                                <w:sz w:val="72"/>
                                <w:szCs w:val="72"/>
                              </w:rPr>
                            </w:pPr>
                            <w:r w:rsidRPr="00076607">
                              <w:rPr>
                                <w:rFonts w:ascii="Arial" w:hAnsi="Arial" w:cs="Arial"/>
                                <w:b/>
                                <w:bCs/>
                                <w:color w:val="FFFFFF" w:themeColor="background1"/>
                                <w:sz w:val="72"/>
                                <w:szCs w:val="72"/>
                              </w:rPr>
                              <w:t>Advance</w:t>
                            </w:r>
                            <w:r w:rsidR="00B43FA4" w:rsidRPr="00076607">
                              <w:rPr>
                                <w:rFonts w:ascii="Arial" w:hAnsi="Arial" w:cs="Arial"/>
                                <w:b/>
                                <w:bCs/>
                                <w:color w:val="FFFFFF" w:themeColor="background1"/>
                                <w:sz w:val="72"/>
                                <w:szCs w:val="72"/>
                              </w:rPr>
                              <w:t xml:space="preserve"> </w:t>
                            </w:r>
                            <w:r w:rsidR="009E651B" w:rsidRPr="00076607">
                              <w:rPr>
                                <w:rFonts w:ascii="Arial" w:hAnsi="Arial" w:cs="Arial"/>
                                <w:b/>
                                <w:bCs/>
                                <w:color w:val="FFFFFF" w:themeColor="background1"/>
                                <w:sz w:val="72"/>
                                <w:szCs w:val="72"/>
                              </w:rPr>
                              <w:t>P</w:t>
                            </w:r>
                            <w:r w:rsidR="00B43FA4" w:rsidRPr="00076607">
                              <w:rPr>
                                <w:rFonts w:ascii="Arial" w:hAnsi="Arial" w:cs="Arial"/>
                                <w:b/>
                                <w:bCs/>
                                <w:color w:val="FFFFFF" w:themeColor="background1"/>
                                <w:sz w:val="72"/>
                                <w:szCs w:val="72"/>
                              </w:rPr>
                              <w:t xml:space="preserve">urchase </w:t>
                            </w:r>
                            <w:r w:rsidR="00CC1B79" w:rsidRPr="00076607">
                              <w:rPr>
                                <w:rFonts w:ascii="Arial" w:hAnsi="Arial" w:cs="Arial"/>
                                <w:b/>
                                <w:bCs/>
                                <w:color w:val="FFFFFF" w:themeColor="background1"/>
                                <w:sz w:val="72"/>
                                <w:szCs w:val="72"/>
                              </w:rPr>
                              <w:t>A</w:t>
                            </w:r>
                            <w:r w:rsidR="00FB7BCF" w:rsidRPr="00076607">
                              <w:rPr>
                                <w:rFonts w:ascii="Arial" w:hAnsi="Arial" w:cs="Arial"/>
                                <w:b/>
                                <w:bCs/>
                                <w:color w:val="FFFFFF" w:themeColor="background1"/>
                                <w:sz w:val="72"/>
                                <w:szCs w:val="72"/>
                              </w:rPr>
                              <w:t xml:space="preserve">rrangements for </w:t>
                            </w:r>
                            <w:r w:rsidR="002C1900" w:rsidRPr="00076607">
                              <w:rPr>
                                <w:rFonts w:ascii="Arial" w:hAnsi="Arial" w:cs="Arial"/>
                                <w:b/>
                                <w:bCs/>
                                <w:color w:val="FFFFFF" w:themeColor="background1"/>
                                <w:sz w:val="72"/>
                                <w:szCs w:val="72"/>
                              </w:rPr>
                              <w:br/>
                            </w:r>
                            <w:r w:rsidR="00CA6930" w:rsidRPr="00076607">
                              <w:rPr>
                                <w:rFonts w:ascii="Arial" w:hAnsi="Arial" w:cs="Arial"/>
                                <w:b/>
                                <w:bCs/>
                                <w:color w:val="FFFFFF" w:themeColor="background1"/>
                                <w:sz w:val="72"/>
                                <w:szCs w:val="72"/>
                              </w:rPr>
                              <w:t xml:space="preserve">Un-commenced Residential Developments Through </w:t>
                            </w:r>
                          </w:p>
                          <w:p w14:paraId="6C2C9C97" w14:textId="3255BEC6" w:rsidR="00863053" w:rsidRPr="001F33B6" w:rsidRDefault="00CA6930" w:rsidP="00863053">
                            <w:pPr>
                              <w:widowControl w:val="0"/>
                              <w:rPr>
                                <w:rFonts w:ascii="Arial" w:hAnsi="Arial" w:cs="Arial"/>
                                <w:b/>
                                <w:bCs/>
                              </w:rPr>
                            </w:pPr>
                            <w:r w:rsidRPr="00076607">
                              <w:rPr>
                                <w:rFonts w:ascii="Arial" w:hAnsi="Arial" w:cs="Arial"/>
                                <w:b/>
                                <w:bCs/>
                                <w:color w:val="FFFFFF" w:themeColor="background1"/>
                                <w:sz w:val="72"/>
                                <w:szCs w:val="72"/>
                              </w:rPr>
                              <w:t>Turnkey Agreements</w:t>
                            </w:r>
                            <w:r w:rsidR="002C1900">
                              <w:rPr>
                                <w:b/>
                                <w:bCs/>
                                <w:color w:val="FFFFFF" w:themeColor="background1"/>
                                <w:sz w:val="72"/>
                                <w:szCs w:val="72"/>
                              </w:rPr>
                              <w:br/>
                            </w:r>
                          </w:p>
                          <w:p w14:paraId="776B037E" w14:textId="05B2FFDF" w:rsidR="00135A38" w:rsidRPr="00076607" w:rsidRDefault="00135A38" w:rsidP="00CA6930">
                            <w:pPr>
                              <w:rPr>
                                <w:rFonts w:ascii="Arial" w:hAnsi="Arial" w:cs="Arial"/>
                                <w:sz w:val="32"/>
                                <w:szCs w:val="32"/>
                              </w:rPr>
                            </w:pPr>
                            <w:r w:rsidRPr="00076607">
                              <w:rPr>
                                <w:rFonts w:ascii="Arial" w:hAnsi="Arial" w:cs="Arial"/>
                                <w:color w:val="FFFFFF" w:themeColor="background1"/>
                                <w:sz w:val="56"/>
                                <w:szCs w:val="56"/>
                              </w:rPr>
                              <w:t xml:space="preserve">A brief guide </w:t>
                            </w:r>
                            <w:r w:rsidR="00326CAC" w:rsidRPr="00076607">
                              <w:rPr>
                                <w:rFonts w:ascii="Arial" w:hAnsi="Arial" w:cs="Arial"/>
                                <w:color w:val="FFFFFF" w:themeColor="background1"/>
                                <w:sz w:val="56"/>
                                <w:szCs w:val="56"/>
                              </w:rPr>
                              <w:t xml:space="preserve">for </w:t>
                            </w:r>
                            <w:r w:rsidR="00B03233" w:rsidRPr="00076607">
                              <w:rPr>
                                <w:rFonts w:ascii="Arial" w:hAnsi="Arial" w:cs="Arial"/>
                                <w:color w:val="FFFFFF" w:themeColor="background1"/>
                                <w:sz w:val="56"/>
                                <w:szCs w:val="56"/>
                              </w:rPr>
                              <w:t xml:space="preserve">home builders and </w:t>
                            </w:r>
                            <w:r w:rsidR="00135C9E" w:rsidRPr="00076607">
                              <w:rPr>
                                <w:rFonts w:ascii="Arial" w:hAnsi="Arial" w:cs="Arial"/>
                                <w:color w:val="FFFFFF" w:themeColor="background1"/>
                                <w:sz w:val="56"/>
                                <w:szCs w:val="56"/>
                              </w:rPr>
                              <w:t xml:space="preserve">housing </w:t>
                            </w:r>
                            <w:r w:rsidR="00B03233" w:rsidRPr="00076607">
                              <w:rPr>
                                <w:rFonts w:ascii="Arial" w:hAnsi="Arial" w:cs="Arial"/>
                                <w:color w:val="FFFFFF" w:themeColor="background1"/>
                                <w:sz w:val="56"/>
                                <w:szCs w:val="56"/>
                              </w:rPr>
                              <w:t xml:space="preserve">developers </w:t>
                            </w:r>
                          </w:p>
                          <w:p w14:paraId="233F72E0" w14:textId="7A46ECF8" w:rsidR="00135A38" w:rsidRPr="00024314" w:rsidRDefault="00135A38" w:rsidP="00135A38">
                            <w:pPr>
                              <w:rPr>
                                <w:color w:val="FFFFFF" w:themeColor="background1"/>
                                <w:sz w:val="40"/>
                                <w:szCs w:val="40"/>
                              </w:rPr>
                            </w:pPr>
                            <w:r w:rsidRPr="00024314">
                              <w:rPr>
                                <w:color w:val="FFFFFF" w:themeColor="background1"/>
                                <w:sz w:val="40"/>
                                <w:szCs w:val="4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CC49B" id="_x0000_t202" coordsize="21600,21600" o:spt="202" path="m,l,21600r21600,l21600,xe">
                <v:stroke joinstyle="miter"/>
                <v:path gradientshapeok="t" o:connecttype="rect"/>
              </v:shapetype>
              <v:shape id="Text Box 189" o:spid="_x0000_s1026" type="#_x0000_t202" style="position:absolute;margin-left:-44.5pt;margin-top:224.65pt;width:503.5pt;height:30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" filled="f" stroked="f" strokeweight=".5pt">
                <v:textbox>
                  <w:txbxContent>
                    <w:p w14:paraId="7CEE9C8C" w14:textId="1E849284" w:rsidR="00CA6930" w:rsidRPr="00076607" w:rsidRDefault="00024314" w:rsidP="00863053">
                      <w:pPr>
                        <w:widowControl w:val="0"/>
                        <w:rPr>
                          <w:rFonts w:ascii="Arial" w:hAnsi="Arial" w:cs="Arial"/>
                          <w:b/>
                          <w:bCs/>
                          <w:color w:val="FFFFFF" w:themeColor="background1"/>
                          <w:sz w:val="72"/>
                          <w:szCs w:val="72"/>
                        </w:rPr>
                      </w:pPr>
                      <w:r w:rsidRPr="00076607">
                        <w:rPr>
                          <w:rFonts w:ascii="Arial" w:hAnsi="Arial" w:cs="Arial"/>
                          <w:b/>
                          <w:bCs/>
                          <w:color w:val="FFFFFF" w:themeColor="background1"/>
                          <w:sz w:val="72"/>
                          <w:szCs w:val="72"/>
                        </w:rPr>
                        <w:t>Advance</w:t>
                      </w:r>
                      <w:r w:rsidR="00B43FA4" w:rsidRPr="00076607">
                        <w:rPr>
                          <w:rFonts w:ascii="Arial" w:hAnsi="Arial" w:cs="Arial"/>
                          <w:b/>
                          <w:bCs/>
                          <w:color w:val="FFFFFF" w:themeColor="background1"/>
                          <w:sz w:val="72"/>
                          <w:szCs w:val="72"/>
                        </w:rPr>
                        <w:t xml:space="preserve"> </w:t>
                      </w:r>
                      <w:r w:rsidR="009E651B" w:rsidRPr="00076607">
                        <w:rPr>
                          <w:rFonts w:ascii="Arial" w:hAnsi="Arial" w:cs="Arial"/>
                          <w:b/>
                          <w:bCs/>
                          <w:color w:val="FFFFFF" w:themeColor="background1"/>
                          <w:sz w:val="72"/>
                          <w:szCs w:val="72"/>
                        </w:rPr>
                        <w:t>P</w:t>
                      </w:r>
                      <w:r w:rsidR="00B43FA4" w:rsidRPr="00076607">
                        <w:rPr>
                          <w:rFonts w:ascii="Arial" w:hAnsi="Arial" w:cs="Arial"/>
                          <w:b/>
                          <w:bCs/>
                          <w:color w:val="FFFFFF" w:themeColor="background1"/>
                          <w:sz w:val="72"/>
                          <w:szCs w:val="72"/>
                        </w:rPr>
                        <w:t xml:space="preserve">urchase </w:t>
                      </w:r>
                      <w:r w:rsidR="00CC1B79" w:rsidRPr="00076607">
                        <w:rPr>
                          <w:rFonts w:ascii="Arial" w:hAnsi="Arial" w:cs="Arial"/>
                          <w:b/>
                          <w:bCs/>
                          <w:color w:val="FFFFFF" w:themeColor="background1"/>
                          <w:sz w:val="72"/>
                          <w:szCs w:val="72"/>
                        </w:rPr>
                        <w:t>A</w:t>
                      </w:r>
                      <w:r w:rsidR="00FB7BCF" w:rsidRPr="00076607">
                        <w:rPr>
                          <w:rFonts w:ascii="Arial" w:hAnsi="Arial" w:cs="Arial"/>
                          <w:b/>
                          <w:bCs/>
                          <w:color w:val="FFFFFF" w:themeColor="background1"/>
                          <w:sz w:val="72"/>
                          <w:szCs w:val="72"/>
                        </w:rPr>
                        <w:t xml:space="preserve">rrangements for </w:t>
                      </w:r>
                      <w:r w:rsidR="002C1900" w:rsidRPr="00076607">
                        <w:rPr>
                          <w:rFonts w:ascii="Arial" w:hAnsi="Arial" w:cs="Arial"/>
                          <w:b/>
                          <w:bCs/>
                          <w:color w:val="FFFFFF" w:themeColor="background1"/>
                          <w:sz w:val="72"/>
                          <w:szCs w:val="72"/>
                        </w:rPr>
                        <w:br/>
                      </w:r>
                      <w:r w:rsidR="00CA6930" w:rsidRPr="00076607">
                        <w:rPr>
                          <w:rFonts w:ascii="Arial" w:hAnsi="Arial" w:cs="Arial"/>
                          <w:b/>
                          <w:bCs/>
                          <w:color w:val="FFFFFF" w:themeColor="background1"/>
                          <w:sz w:val="72"/>
                          <w:szCs w:val="72"/>
                        </w:rPr>
                        <w:t xml:space="preserve">Un-commenced Residential Developments Through </w:t>
                      </w:r>
                    </w:p>
                    <w:p w14:paraId="6C2C9C97" w14:textId="3255BEC6" w:rsidR="00863053" w:rsidRPr="001F33B6" w:rsidRDefault="00CA6930" w:rsidP="00863053">
                      <w:pPr>
                        <w:widowControl w:val="0"/>
                        <w:rPr>
                          <w:rFonts w:ascii="Arial" w:hAnsi="Arial" w:cs="Arial"/>
                          <w:b/>
                          <w:bCs/>
                        </w:rPr>
                      </w:pPr>
                      <w:r w:rsidRPr="00076607">
                        <w:rPr>
                          <w:rFonts w:ascii="Arial" w:hAnsi="Arial" w:cs="Arial"/>
                          <w:b/>
                          <w:bCs/>
                          <w:color w:val="FFFFFF" w:themeColor="background1"/>
                          <w:sz w:val="72"/>
                          <w:szCs w:val="72"/>
                        </w:rPr>
                        <w:t>Turnkey Agreements</w:t>
                      </w:r>
                      <w:r w:rsidR="002C1900">
                        <w:rPr>
                          <w:b/>
                          <w:bCs/>
                          <w:color w:val="FFFFFF" w:themeColor="background1"/>
                          <w:sz w:val="72"/>
                          <w:szCs w:val="72"/>
                        </w:rPr>
                        <w:br/>
                      </w:r>
                    </w:p>
                    <w:p w14:paraId="776B037E" w14:textId="05B2FFDF" w:rsidR="00135A38" w:rsidRPr="00076607" w:rsidRDefault="00135A38" w:rsidP="00CA6930">
                      <w:pPr>
                        <w:rPr>
                          <w:rFonts w:ascii="Arial" w:hAnsi="Arial" w:cs="Arial"/>
                          <w:sz w:val="32"/>
                          <w:szCs w:val="32"/>
                        </w:rPr>
                      </w:pPr>
                      <w:r w:rsidRPr="00076607">
                        <w:rPr>
                          <w:rFonts w:ascii="Arial" w:hAnsi="Arial" w:cs="Arial"/>
                          <w:color w:val="FFFFFF" w:themeColor="background1"/>
                          <w:sz w:val="56"/>
                          <w:szCs w:val="56"/>
                        </w:rPr>
                        <w:t xml:space="preserve">A brief guide </w:t>
                      </w:r>
                      <w:r w:rsidR="00326CAC" w:rsidRPr="00076607">
                        <w:rPr>
                          <w:rFonts w:ascii="Arial" w:hAnsi="Arial" w:cs="Arial"/>
                          <w:color w:val="FFFFFF" w:themeColor="background1"/>
                          <w:sz w:val="56"/>
                          <w:szCs w:val="56"/>
                        </w:rPr>
                        <w:t xml:space="preserve">for </w:t>
                      </w:r>
                      <w:r w:rsidR="00B03233" w:rsidRPr="00076607">
                        <w:rPr>
                          <w:rFonts w:ascii="Arial" w:hAnsi="Arial" w:cs="Arial"/>
                          <w:color w:val="FFFFFF" w:themeColor="background1"/>
                          <w:sz w:val="56"/>
                          <w:szCs w:val="56"/>
                        </w:rPr>
                        <w:t xml:space="preserve">home builders and </w:t>
                      </w:r>
                      <w:r w:rsidR="00135C9E" w:rsidRPr="00076607">
                        <w:rPr>
                          <w:rFonts w:ascii="Arial" w:hAnsi="Arial" w:cs="Arial"/>
                          <w:color w:val="FFFFFF" w:themeColor="background1"/>
                          <w:sz w:val="56"/>
                          <w:szCs w:val="56"/>
                        </w:rPr>
                        <w:t xml:space="preserve">housing </w:t>
                      </w:r>
                      <w:r w:rsidR="00B03233" w:rsidRPr="00076607">
                        <w:rPr>
                          <w:rFonts w:ascii="Arial" w:hAnsi="Arial" w:cs="Arial"/>
                          <w:color w:val="FFFFFF" w:themeColor="background1"/>
                          <w:sz w:val="56"/>
                          <w:szCs w:val="56"/>
                        </w:rPr>
                        <w:t xml:space="preserve">developers </w:t>
                      </w:r>
                    </w:p>
                    <w:p w14:paraId="233F72E0" w14:textId="7A46ECF8" w:rsidR="00135A38" w:rsidRPr="00024314" w:rsidRDefault="00135A38" w:rsidP="00135A38">
                      <w:pPr>
                        <w:rPr>
                          <w:color w:val="FFFFFF" w:themeColor="background1"/>
                          <w:sz w:val="40"/>
                          <w:szCs w:val="40"/>
                        </w:rPr>
                      </w:pPr>
                      <w:r w:rsidRPr="00024314">
                        <w:rPr>
                          <w:color w:val="FFFFFF" w:themeColor="background1"/>
                          <w:sz w:val="40"/>
                          <w:szCs w:val="40"/>
                        </w:rPr>
                        <w:br/>
                      </w:r>
                    </w:p>
                  </w:txbxContent>
                </v:textbox>
              </v:shape>
            </w:pict>
          </mc:Fallback>
        </mc:AlternateContent>
      </w:r>
      <w:r w:rsidR="00462A56" w:rsidRPr="00CA6930">
        <w:rPr>
          <w:rFonts w:ascii="Arial" w:hAnsi="Arial" w:cs="Arial"/>
          <w:noProof/>
          <w:sz w:val="22"/>
          <w:szCs w:val="22"/>
        </w:rPr>
        <w:drawing>
          <wp:anchor distT="36576" distB="36576" distL="36576" distR="36576" simplePos="0" relativeHeight="251658240" behindDoc="0" locked="0" layoutInCell="1" allowOverlap="1" wp14:anchorId="764C0091" wp14:editId="75C869F0">
            <wp:simplePos x="0" y="0"/>
            <wp:positionH relativeFrom="column">
              <wp:posOffset>-2110105</wp:posOffset>
            </wp:positionH>
            <wp:positionV relativeFrom="paragraph">
              <wp:posOffset>1116965</wp:posOffset>
            </wp:positionV>
            <wp:extent cx="10102850" cy="7039610"/>
            <wp:effectExtent l="0" t="0" r="0" b="889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pic:cNvPicPr>
                      <a:picLocks noChangeAspect="1" noChangeArrowheads="1"/>
                    </pic:cNvPicPr>
                  </pic:nvPicPr>
                  <pic:blipFill>
                    <a:blip r:embed="rId11">
                      <a:extLst>
                        <a:ext uri="{28A0092B-C50C-407E-A947-70E740481C1C}">
                          <a14:useLocalDpi xmlns:a14="http://schemas.microsoft.com/office/drawing/2010/main" val="0"/>
                        </a:ext>
                      </a:extLst>
                    </a:blip>
                    <a:srcRect l="2165" r="2165"/>
                    <a:stretch>
                      <a:fillRect/>
                    </a:stretch>
                  </pic:blipFill>
                  <pic:spPr bwMode="auto">
                    <a:xfrm>
                      <a:off x="0" y="0"/>
                      <a:ext cx="10102850" cy="70396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5FC9" w:rsidRPr="00CA6930">
        <w:rPr>
          <w:rFonts w:ascii="Arial" w:hAnsi="Arial" w:cs="Arial"/>
          <w:noProof/>
          <w:sz w:val="22"/>
          <w:szCs w:val="22"/>
        </w:rPr>
        <mc:AlternateContent>
          <mc:Choice Requires="wps">
            <w:drawing>
              <wp:anchor distT="36576" distB="36576" distL="36576" distR="36576" simplePos="0" relativeHeight="251658241" behindDoc="0" locked="0" layoutInCell="1" allowOverlap="1" wp14:anchorId="62736F1D" wp14:editId="6F0EA99C">
                <wp:simplePos x="0" y="0"/>
                <wp:positionH relativeFrom="column">
                  <wp:posOffset>-933449</wp:posOffset>
                </wp:positionH>
                <wp:positionV relativeFrom="paragraph">
                  <wp:posOffset>1011555</wp:posOffset>
                </wp:positionV>
                <wp:extent cx="7628890" cy="109220"/>
                <wp:effectExtent l="0" t="0" r="0" b="508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8890" cy="1092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1E79E1" id="Rectangle 186" o:spid="_x0000_s1026" style="position:absolute;margin-left:-73.5pt;margin-top:79.65pt;width:600.7pt;height:8.6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" fillcolor="black" stroked="f" strokecolor="black [0]" strokeweight="2pt">
                <v:fill opacity="13107f"/>
                <v:shadow color="black [0]"/>
                <v:textbox inset="2.88pt,2.88pt,2.88pt,2.88pt"/>
              </v:rect>
            </w:pict>
          </mc:Fallback>
        </mc:AlternateContent>
      </w:r>
      <w:r w:rsidR="00726EDE" w:rsidRPr="00CA6930">
        <w:rPr>
          <w:rFonts w:ascii="Arial" w:hAnsi="Arial" w:cs="Arial"/>
          <w:noProof/>
          <w:sz w:val="22"/>
          <w:szCs w:val="22"/>
        </w:rPr>
        <w:drawing>
          <wp:anchor distT="0" distB="0" distL="114300" distR="114300" simplePos="0" relativeHeight="251658246" behindDoc="0" locked="0" layoutInCell="1" allowOverlap="1" wp14:anchorId="11846D57" wp14:editId="06C03D11">
            <wp:simplePos x="0" y="0"/>
            <wp:positionH relativeFrom="column">
              <wp:posOffset>1911350</wp:posOffset>
            </wp:positionH>
            <wp:positionV relativeFrom="paragraph">
              <wp:posOffset>8368030</wp:posOffset>
            </wp:positionV>
            <wp:extent cx="1835150" cy="736099"/>
            <wp:effectExtent l="0" t="0" r="0" b="0"/>
            <wp:wrapNone/>
            <wp:docPr id="199" name="Picture 1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5150" cy="736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297" w:rsidRPr="00CA6930">
        <w:rPr>
          <w:rFonts w:ascii="Arial" w:hAnsi="Arial" w:cs="Arial"/>
          <w:noProof/>
          <w:sz w:val="22"/>
          <w:szCs w:val="22"/>
        </w:rPr>
        <w:drawing>
          <wp:anchor distT="36576" distB="36576" distL="36576" distR="36576" simplePos="0" relativeHeight="251658245" behindDoc="0" locked="0" layoutInCell="1" allowOverlap="1" wp14:anchorId="2E993395" wp14:editId="7BCE04B8">
            <wp:simplePos x="0" y="0"/>
            <wp:positionH relativeFrom="column">
              <wp:posOffset>-563880</wp:posOffset>
            </wp:positionH>
            <wp:positionV relativeFrom="paragraph">
              <wp:posOffset>-725805</wp:posOffset>
            </wp:positionV>
            <wp:extent cx="3642360" cy="1098813"/>
            <wp:effectExtent l="0" t="0" r="0" b="6350"/>
            <wp:wrapNone/>
            <wp:docPr id="185" name="Picture 185"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Graphical user interface, 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2360" cy="109881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34F43" w:rsidRPr="00CA6930">
        <w:rPr>
          <w:rFonts w:ascii="Arial" w:hAnsi="Arial" w:cs="Arial"/>
          <w:noProof/>
          <w:sz w:val="22"/>
          <w:szCs w:val="22"/>
        </w:rPr>
        <w:drawing>
          <wp:anchor distT="36576" distB="36576" distL="36576" distR="36576" simplePos="0" relativeHeight="251658244" behindDoc="0" locked="0" layoutInCell="1" allowOverlap="1" wp14:anchorId="3230FD16" wp14:editId="1FEE5361">
            <wp:simplePos x="0" y="0"/>
            <wp:positionH relativeFrom="column">
              <wp:posOffset>3840480</wp:posOffset>
            </wp:positionH>
            <wp:positionV relativeFrom="paragraph">
              <wp:posOffset>8366760</wp:posOffset>
            </wp:positionV>
            <wp:extent cx="2362200" cy="712619"/>
            <wp:effectExtent l="0" t="0" r="0" b="0"/>
            <wp:wrapNone/>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Graphical user interface, 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71261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447C7E6" w14:textId="77777777" w:rsidR="005A3299" w:rsidRPr="00CA6930" w:rsidRDefault="005A3299" w:rsidP="00CA6930">
      <w:pPr>
        <w:spacing w:line="276" w:lineRule="auto"/>
        <w:rPr>
          <w:rFonts w:ascii="Arial" w:hAnsi="Arial" w:cs="Arial"/>
          <w:b/>
          <w:color w:val="4C6380"/>
          <w:sz w:val="22"/>
          <w:szCs w:val="22"/>
        </w:rPr>
      </w:pPr>
    </w:p>
    <w:p w14:paraId="01EF5F05" w14:textId="77777777" w:rsidR="005A3299" w:rsidRPr="00CA6930" w:rsidRDefault="005A3299" w:rsidP="00CA6930">
      <w:pPr>
        <w:spacing w:line="276" w:lineRule="auto"/>
        <w:rPr>
          <w:rFonts w:ascii="Arial" w:hAnsi="Arial" w:cs="Arial"/>
          <w:b/>
          <w:color w:val="4C6380"/>
          <w:sz w:val="22"/>
          <w:szCs w:val="22"/>
        </w:rPr>
      </w:pPr>
    </w:p>
    <w:p w14:paraId="33243223" w14:textId="40CC8AA3" w:rsidR="00A0094C" w:rsidRPr="00CA6930" w:rsidRDefault="00434915" w:rsidP="00CA6930">
      <w:pPr>
        <w:spacing w:line="276" w:lineRule="auto"/>
        <w:rPr>
          <w:rFonts w:ascii="Arial" w:hAnsi="Arial" w:cs="Arial"/>
          <w:b/>
          <w:color w:val="4C6380"/>
          <w:sz w:val="22"/>
          <w:szCs w:val="22"/>
        </w:rPr>
      </w:pPr>
      <w:r w:rsidRPr="00CA6930">
        <w:rPr>
          <w:rFonts w:ascii="Arial" w:hAnsi="Arial" w:cs="Arial"/>
          <w:b/>
          <w:color w:val="4C6380"/>
          <w:sz w:val="22"/>
          <w:szCs w:val="22"/>
        </w:rPr>
        <w:t xml:space="preserve">Contents </w:t>
      </w:r>
    </w:p>
    <w:p w14:paraId="02F8556C" w14:textId="77777777" w:rsidR="00434915" w:rsidRPr="00CA6930" w:rsidRDefault="00434915" w:rsidP="00CA6930">
      <w:pPr>
        <w:spacing w:line="276" w:lineRule="auto"/>
        <w:rPr>
          <w:rFonts w:ascii="Arial" w:hAnsi="Arial" w:cs="Arial"/>
          <w:sz w:val="22"/>
          <w:szCs w:val="22"/>
        </w:rPr>
      </w:pPr>
    </w:p>
    <w:p w14:paraId="6E846714" w14:textId="0538791C" w:rsidR="004F73F3" w:rsidRPr="004F73F3" w:rsidRDefault="003F0D70">
      <w:pPr>
        <w:pStyle w:val="TOC2"/>
        <w:rPr>
          <w:rFonts w:ascii="Arial" w:eastAsiaTheme="minorEastAsia" w:hAnsi="Arial" w:cs="Arial"/>
          <w:noProof/>
          <w:sz w:val="22"/>
          <w:szCs w:val="22"/>
        </w:rPr>
      </w:pPr>
      <w:r w:rsidRPr="004F73F3">
        <w:rPr>
          <w:rFonts w:ascii="Arial" w:hAnsi="Arial" w:cs="Arial"/>
          <w:sz w:val="22"/>
          <w:szCs w:val="22"/>
        </w:rPr>
        <w:fldChar w:fldCharType="begin"/>
      </w:r>
      <w:r w:rsidRPr="004F73F3">
        <w:rPr>
          <w:rFonts w:ascii="Arial" w:hAnsi="Arial" w:cs="Arial"/>
          <w:sz w:val="22"/>
          <w:szCs w:val="22"/>
        </w:rPr>
        <w:instrText xml:space="preserve"> TOC \o "1-4" \h \z \u </w:instrText>
      </w:r>
      <w:r w:rsidRPr="004F73F3">
        <w:rPr>
          <w:rFonts w:ascii="Arial" w:hAnsi="Arial" w:cs="Arial"/>
          <w:sz w:val="22"/>
          <w:szCs w:val="22"/>
        </w:rPr>
        <w:fldChar w:fldCharType="separate"/>
      </w:r>
      <w:hyperlink w:anchor="_Toc88063356" w:history="1">
        <w:r w:rsidR="004F73F3" w:rsidRPr="004F73F3">
          <w:rPr>
            <w:rStyle w:val="Hyperlink"/>
            <w:rFonts w:ascii="Arial" w:hAnsi="Arial" w:cs="Arial"/>
            <w:noProof/>
          </w:rPr>
          <w:t>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Introduction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68736FB6" w14:textId="0367BBC5" w:rsidR="004F73F3" w:rsidRPr="004F73F3" w:rsidRDefault="00200C71">
      <w:pPr>
        <w:pStyle w:val="TOC3"/>
        <w:tabs>
          <w:tab w:val="left" w:pos="1100"/>
          <w:tab w:val="right" w:leader="dot" w:pos="9016"/>
        </w:tabs>
        <w:rPr>
          <w:rFonts w:ascii="Arial" w:eastAsiaTheme="minorEastAsia" w:hAnsi="Arial" w:cs="Arial"/>
          <w:noProof/>
          <w:sz w:val="22"/>
          <w:szCs w:val="22"/>
        </w:rPr>
      </w:pPr>
      <w:hyperlink w:anchor="_Toc88063357" w:history="1">
        <w:r w:rsidR="004F73F3" w:rsidRPr="004F73F3">
          <w:rPr>
            <w:rStyle w:val="Hyperlink"/>
            <w:rFonts w:ascii="Arial" w:hAnsi="Arial" w:cs="Arial"/>
            <w:noProof/>
          </w:rPr>
          <w:t>2.1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Affordable Housing Funding (AHF)</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2F91864A" w14:textId="4E36C7FD" w:rsidR="004F73F3" w:rsidRPr="004F73F3" w:rsidRDefault="00200C71">
      <w:pPr>
        <w:pStyle w:val="TOC4"/>
        <w:rPr>
          <w:rFonts w:ascii="Arial" w:eastAsiaTheme="minorEastAsia" w:hAnsi="Arial" w:cs="Arial"/>
          <w:noProof/>
          <w:sz w:val="22"/>
          <w:szCs w:val="22"/>
        </w:rPr>
      </w:pPr>
      <w:hyperlink w:anchor="_Toc88063358" w:history="1">
        <w:r w:rsidR="004F73F3" w:rsidRPr="004F73F3">
          <w:rPr>
            <w:rStyle w:val="Hyperlink"/>
            <w:rFonts w:ascii="Arial" w:hAnsi="Arial" w:cs="Arial"/>
            <w:noProof/>
          </w:rPr>
          <w:t>2.1.1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Affordable Purchase</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_Toc88063358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3</w:t>
        </w:r>
        <w:r w:rsidR="004F73F3" w:rsidRPr="004F73F3">
          <w:rPr>
            <w:rFonts w:ascii="Arial" w:hAnsi="Arial" w:cs="Arial"/>
            <w:noProof/>
            <w:webHidden/>
          </w:rPr>
          <w:fldChar w:fldCharType="end"/>
        </w:r>
      </w:hyperlink>
    </w:p>
    <w:p w14:paraId="7CD9914E" w14:textId="50DE4CAB" w:rsidR="004F73F3" w:rsidRPr="004F73F3" w:rsidRDefault="00200C71">
      <w:pPr>
        <w:pStyle w:val="TOC4"/>
        <w:rPr>
          <w:rFonts w:ascii="Arial" w:eastAsiaTheme="minorEastAsia" w:hAnsi="Arial" w:cs="Arial"/>
          <w:noProof/>
          <w:sz w:val="22"/>
          <w:szCs w:val="22"/>
        </w:rPr>
      </w:pPr>
      <w:hyperlink w:anchor="_Toc88063359" w:history="1">
        <w:r w:rsidR="004F73F3" w:rsidRPr="004F73F3">
          <w:rPr>
            <w:rStyle w:val="Hyperlink"/>
            <w:rFonts w:ascii="Arial" w:hAnsi="Arial" w:cs="Arial"/>
            <w:noProof/>
          </w:rPr>
          <w:t>2.1.2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Cost Rental</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_Toc88063359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4</w:t>
        </w:r>
        <w:r w:rsidR="004F73F3" w:rsidRPr="004F73F3">
          <w:rPr>
            <w:rFonts w:ascii="Arial" w:hAnsi="Arial" w:cs="Arial"/>
            <w:noProof/>
            <w:webHidden/>
          </w:rPr>
          <w:fldChar w:fldCharType="end"/>
        </w:r>
      </w:hyperlink>
    </w:p>
    <w:p w14:paraId="41A86807" w14:textId="6FE44BF8" w:rsidR="004F73F3" w:rsidRPr="004F73F3" w:rsidRDefault="00200C71">
      <w:pPr>
        <w:pStyle w:val="TOC3"/>
        <w:tabs>
          <w:tab w:val="left" w:pos="1100"/>
          <w:tab w:val="right" w:leader="dot" w:pos="9016"/>
        </w:tabs>
        <w:rPr>
          <w:rFonts w:ascii="Arial" w:eastAsiaTheme="minorEastAsia" w:hAnsi="Arial" w:cs="Arial"/>
          <w:noProof/>
          <w:sz w:val="22"/>
          <w:szCs w:val="22"/>
        </w:rPr>
      </w:pPr>
      <w:hyperlink w:anchor="_Toc88063360" w:history="1">
        <w:r w:rsidR="004F73F3" w:rsidRPr="004F73F3">
          <w:rPr>
            <w:rStyle w:val="Hyperlink"/>
            <w:rFonts w:ascii="Arial" w:hAnsi="Arial" w:cs="Arial"/>
            <w:noProof/>
          </w:rPr>
          <w:t>2.1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Background information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_Toc88063360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4ABB6C5" w14:textId="2B1E71ED" w:rsidR="004F73F3" w:rsidRPr="004F73F3" w:rsidRDefault="00200C71">
      <w:pPr>
        <w:pStyle w:val="TOC4"/>
        <w:rPr>
          <w:rFonts w:ascii="Arial" w:eastAsiaTheme="minorEastAsia" w:hAnsi="Arial" w:cs="Arial"/>
          <w:noProof/>
          <w:sz w:val="22"/>
          <w:szCs w:val="22"/>
        </w:rPr>
      </w:pPr>
      <w:hyperlink w:anchor="_Toc88063361" w:history="1">
        <w:r w:rsidR="004F73F3" w:rsidRPr="004F73F3">
          <w:rPr>
            <w:rStyle w:val="Hyperlink"/>
            <w:rFonts w:ascii="Arial" w:hAnsi="Arial" w:cs="Arial"/>
            <w:noProof/>
          </w:rPr>
          <w:t>2.1.1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Areas of Need</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_Toc88063361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A8FA8C9" w14:textId="0514B280" w:rsidR="004F73F3" w:rsidRPr="004F73F3" w:rsidRDefault="00200C71">
      <w:pPr>
        <w:pStyle w:val="TOC4"/>
        <w:rPr>
          <w:rFonts w:ascii="Arial" w:eastAsiaTheme="minorEastAsia" w:hAnsi="Arial" w:cs="Arial"/>
          <w:noProof/>
          <w:sz w:val="22"/>
          <w:szCs w:val="22"/>
        </w:rPr>
      </w:pPr>
      <w:hyperlink w:anchor="_Toc88063362" w:history="1">
        <w:r w:rsidR="004F73F3" w:rsidRPr="004F73F3">
          <w:rPr>
            <w:rStyle w:val="Hyperlink"/>
            <w:rFonts w:ascii="Arial" w:hAnsi="Arial" w:cs="Arial"/>
            <w:noProof/>
          </w:rPr>
          <w:t>2.1.2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Proximity to Services/Amenities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_Toc88063362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744B25B8" w14:textId="5F0E1F56" w:rsidR="004F73F3" w:rsidRPr="004F73F3" w:rsidRDefault="00200C71">
      <w:pPr>
        <w:pStyle w:val="TOC3"/>
        <w:tabs>
          <w:tab w:val="left" w:pos="1100"/>
          <w:tab w:val="right" w:leader="dot" w:pos="9016"/>
        </w:tabs>
        <w:rPr>
          <w:rFonts w:ascii="Arial" w:eastAsiaTheme="minorEastAsia" w:hAnsi="Arial" w:cs="Arial"/>
          <w:noProof/>
          <w:sz w:val="22"/>
          <w:szCs w:val="22"/>
        </w:rPr>
      </w:pPr>
      <w:hyperlink w:anchor="_Toc88063363" w:history="1">
        <w:r w:rsidR="004F73F3" w:rsidRPr="004F73F3">
          <w:rPr>
            <w:rStyle w:val="Hyperlink"/>
            <w:rFonts w:ascii="Arial" w:hAnsi="Arial" w:cs="Arial"/>
            <w:noProof/>
          </w:rPr>
          <w:t>2.2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Submission Process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_Toc88063363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5</w:t>
        </w:r>
        <w:r w:rsidR="004F73F3" w:rsidRPr="004F73F3">
          <w:rPr>
            <w:rFonts w:ascii="Arial" w:hAnsi="Arial" w:cs="Arial"/>
            <w:noProof/>
            <w:webHidden/>
          </w:rPr>
          <w:fldChar w:fldCharType="end"/>
        </w:r>
      </w:hyperlink>
    </w:p>
    <w:p w14:paraId="01F30A0B" w14:textId="7651E0CF" w:rsidR="004F73F3" w:rsidRPr="004F73F3" w:rsidRDefault="00200C71">
      <w:pPr>
        <w:pStyle w:val="TOC4"/>
        <w:rPr>
          <w:rFonts w:ascii="Arial" w:eastAsiaTheme="minorEastAsia" w:hAnsi="Arial" w:cs="Arial"/>
          <w:noProof/>
          <w:sz w:val="22"/>
          <w:szCs w:val="22"/>
        </w:rPr>
      </w:pPr>
      <w:hyperlink w:anchor="_Toc88063364" w:history="1">
        <w:r w:rsidR="004F73F3" w:rsidRPr="004F73F3">
          <w:rPr>
            <w:rStyle w:val="Hyperlink"/>
            <w:rFonts w:ascii="Arial" w:hAnsi="Arial" w:cs="Arial"/>
            <w:noProof/>
          </w:rPr>
          <w:t xml:space="preserve">2.2.1 </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Stage 1 Submission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_Toc88063364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6</w:t>
        </w:r>
        <w:r w:rsidR="004F73F3" w:rsidRPr="004F73F3">
          <w:rPr>
            <w:rFonts w:ascii="Arial" w:hAnsi="Arial" w:cs="Arial"/>
            <w:noProof/>
            <w:webHidden/>
          </w:rPr>
          <w:fldChar w:fldCharType="end"/>
        </w:r>
      </w:hyperlink>
    </w:p>
    <w:p w14:paraId="63D507C2" w14:textId="3E93D97C" w:rsidR="004F73F3" w:rsidRPr="004F73F3" w:rsidRDefault="00200C71">
      <w:pPr>
        <w:pStyle w:val="TOC4"/>
        <w:rPr>
          <w:rFonts w:ascii="Arial" w:eastAsiaTheme="minorEastAsia" w:hAnsi="Arial" w:cs="Arial"/>
          <w:noProof/>
          <w:sz w:val="22"/>
          <w:szCs w:val="22"/>
        </w:rPr>
      </w:pPr>
      <w:hyperlink w:anchor="_Toc88063365" w:history="1">
        <w:r w:rsidR="004F73F3" w:rsidRPr="004F73F3">
          <w:rPr>
            <w:rStyle w:val="Hyperlink"/>
            <w:rFonts w:ascii="Arial" w:hAnsi="Arial" w:cs="Arial"/>
            <w:noProof/>
          </w:rPr>
          <w:t>2.2.2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Stage 2 Submission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_Toc88063365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6</w:t>
        </w:r>
        <w:r w:rsidR="004F73F3" w:rsidRPr="004F73F3">
          <w:rPr>
            <w:rFonts w:ascii="Arial" w:hAnsi="Arial" w:cs="Arial"/>
            <w:noProof/>
            <w:webHidden/>
          </w:rPr>
          <w:fldChar w:fldCharType="end"/>
        </w:r>
      </w:hyperlink>
    </w:p>
    <w:p w14:paraId="7E978D6B" w14:textId="4B3F89AB" w:rsidR="004F73F3" w:rsidRPr="004F73F3" w:rsidRDefault="00200C71">
      <w:pPr>
        <w:pStyle w:val="TOC2"/>
        <w:rPr>
          <w:rFonts w:ascii="Arial" w:eastAsiaTheme="minorEastAsia" w:hAnsi="Arial" w:cs="Arial"/>
          <w:noProof/>
          <w:sz w:val="22"/>
          <w:szCs w:val="22"/>
        </w:rPr>
      </w:pPr>
      <w:hyperlink w:anchor="_Toc88063366" w:history="1">
        <w:r w:rsidR="004F73F3" w:rsidRPr="004F73F3">
          <w:rPr>
            <w:rStyle w:val="Hyperlink"/>
            <w:rFonts w:ascii="Arial" w:hAnsi="Arial" w:cs="Arial"/>
            <w:noProof/>
          </w:rPr>
          <w:t>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Contractual arrangements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7</w:t>
        </w:r>
        <w:r w:rsidR="004F73F3" w:rsidRPr="004F73F3">
          <w:rPr>
            <w:rFonts w:ascii="Arial" w:hAnsi="Arial" w:cs="Arial"/>
            <w:noProof/>
            <w:webHidden/>
          </w:rPr>
          <w:fldChar w:fldCharType="end"/>
        </w:r>
      </w:hyperlink>
    </w:p>
    <w:p w14:paraId="171940F4" w14:textId="2A438B24" w:rsidR="004F73F3" w:rsidRPr="004F73F3" w:rsidRDefault="00200C71">
      <w:pPr>
        <w:pStyle w:val="TOC2"/>
        <w:rPr>
          <w:rFonts w:ascii="Arial" w:eastAsiaTheme="minorEastAsia" w:hAnsi="Arial" w:cs="Arial"/>
          <w:noProof/>
          <w:sz w:val="22"/>
          <w:szCs w:val="22"/>
        </w:rPr>
      </w:pPr>
      <w:hyperlink w:anchor="_Toc88063367" w:history="1">
        <w:r w:rsidR="004F73F3" w:rsidRPr="004F73F3">
          <w:rPr>
            <w:rStyle w:val="Hyperlink"/>
            <w:rFonts w:ascii="Arial" w:hAnsi="Arial" w:cs="Arial"/>
            <w:noProof/>
          </w:rPr>
          <w:t>3.</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Confidentiality</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3EDD8684" w14:textId="72ADE7F7" w:rsidR="004F73F3" w:rsidRPr="004F73F3" w:rsidRDefault="00200C71">
      <w:pPr>
        <w:pStyle w:val="TOC2"/>
        <w:rPr>
          <w:rFonts w:ascii="Arial" w:eastAsiaTheme="minorEastAsia" w:hAnsi="Arial" w:cs="Arial"/>
          <w:noProof/>
          <w:sz w:val="22"/>
          <w:szCs w:val="22"/>
        </w:rPr>
      </w:pPr>
      <w:hyperlink w:anchor="_Toc88063368" w:history="1">
        <w:r w:rsidR="004F73F3" w:rsidRPr="004F73F3">
          <w:rPr>
            <w:rStyle w:val="Hyperlink"/>
            <w:rFonts w:ascii="Arial" w:hAnsi="Arial" w:cs="Arial"/>
            <w:noProof/>
          </w:rPr>
          <w:t>4.</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Irish legislation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_Toc88063368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537E406E" w14:textId="69F6B0F5" w:rsidR="004F73F3" w:rsidRPr="004F73F3" w:rsidRDefault="00200C71">
      <w:pPr>
        <w:pStyle w:val="TOC2"/>
        <w:rPr>
          <w:rFonts w:ascii="Arial" w:eastAsiaTheme="minorEastAsia" w:hAnsi="Arial" w:cs="Arial"/>
          <w:noProof/>
          <w:sz w:val="22"/>
          <w:szCs w:val="22"/>
        </w:rPr>
      </w:pPr>
      <w:hyperlink w:anchor="_Toc88063369" w:history="1">
        <w:r w:rsidR="004F73F3" w:rsidRPr="004F73F3">
          <w:rPr>
            <w:rStyle w:val="Hyperlink"/>
            <w:rFonts w:ascii="Arial" w:hAnsi="Arial" w:cs="Arial"/>
            <w:noProof/>
          </w:rPr>
          <w:t>5.</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Meetings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_Toc88063369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2D7AAAEE" w14:textId="6D19EE31" w:rsidR="004F73F3" w:rsidRPr="004F73F3" w:rsidRDefault="00200C71">
      <w:pPr>
        <w:pStyle w:val="TOC2"/>
        <w:rPr>
          <w:rFonts w:ascii="Arial" w:eastAsiaTheme="minorEastAsia" w:hAnsi="Arial" w:cs="Arial"/>
          <w:noProof/>
          <w:sz w:val="22"/>
          <w:szCs w:val="22"/>
        </w:rPr>
      </w:pPr>
      <w:hyperlink w:anchor="_Toc88063370" w:history="1">
        <w:r w:rsidR="004F73F3" w:rsidRPr="004F73F3">
          <w:rPr>
            <w:rStyle w:val="Hyperlink"/>
            <w:rFonts w:ascii="Arial" w:hAnsi="Arial" w:cs="Arial"/>
            <w:noProof/>
          </w:rPr>
          <w:t>6.</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Conflict of interest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_Toc88063370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55FC46AC" w14:textId="386ACF57" w:rsidR="004F73F3" w:rsidRPr="004F73F3" w:rsidRDefault="00200C71">
      <w:pPr>
        <w:pStyle w:val="TOC2"/>
        <w:rPr>
          <w:rFonts w:ascii="Arial" w:eastAsiaTheme="minorEastAsia" w:hAnsi="Arial" w:cs="Arial"/>
          <w:noProof/>
          <w:sz w:val="22"/>
          <w:szCs w:val="22"/>
        </w:rPr>
      </w:pPr>
      <w:hyperlink w:anchor="_Toc88063371" w:history="1">
        <w:r w:rsidR="004F73F3" w:rsidRPr="004F73F3">
          <w:rPr>
            <w:rStyle w:val="Hyperlink"/>
            <w:rFonts w:ascii="Arial" w:hAnsi="Arial" w:cs="Arial"/>
            <w:noProof/>
          </w:rPr>
          <w:t>7.</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Applicant exclusion</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_Toc88063371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8</w:t>
        </w:r>
        <w:r w:rsidR="004F73F3" w:rsidRPr="004F73F3">
          <w:rPr>
            <w:rFonts w:ascii="Arial" w:hAnsi="Arial" w:cs="Arial"/>
            <w:noProof/>
            <w:webHidden/>
          </w:rPr>
          <w:fldChar w:fldCharType="end"/>
        </w:r>
      </w:hyperlink>
    </w:p>
    <w:p w14:paraId="4A3028FF" w14:textId="30C77F2F" w:rsidR="004F73F3" w:rsidRPr="004F73F3" w:rsidRDefault="00200C71">
      <w:pPr>
        <w:pStyle w:val="TOC2"/>
        <w:rPr>
          <w:rFonts w:ascii="Arial" w:eastAsiaTheme="minorEastAsia" w:hAnsi="Arial" w:cs="Arial"/>
          <w:noProof/>
          <w:sz w:val="22"/>
          <w:szCs w:val="22"/>
        </w:rPr>
      </w:pPr>
      <w:hyperlink w:anchor="_Toc88063372" w:history="1">
        <w:r w:rsidR="004F73F3" w:rsidRPr="004F73F3">
          <w:rPr>
            <w:rStyle w:val="Hyperlink"/>
            <w:rFonts w:ascii="Arial" w:hAnsi="Arial" w:cs="Arial"/>
            <w:noProof/>
          </w:rPr>
          <w:t>8.</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Funding Support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_Toc88063372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9</w:t>
        </w:r>
        <w:r w:rsidR="004F73F3" w:rsidRPr="004F73F3">
          <w:rPr>
            <w:rFonts w:ascii="Arial" w:hAnsi="Arial" w:cs="Arial"/>
            <w:noProof/>
            <w:webHidden/>
          </w:rPr>
          <w:fldChar w:fldCharType="end"/>
        </w:r>
      </w:hyperlink>
    </w:p>
    <w:p w14:paraId="34A1A9C9" w14:textId="5F5C7CEA" w:rsidR="004F73F3" w:rsidRPr="004F73F3" w:rsidRDefault="00200C71">
      <w:pPr>
        <w:pStyle w:val="TOC2"/>
        <w:rPr>
          <w:rFonts w:ascii="Arial" w:eastAsiaTheme="minorEastAsia" w:hAnsi="Arial" w:cs="Arial"/>
          <w:noProof/>
          <w:sz w:val="22"/>
          <w:szCs w:val="22"/>
        </w:rPr>
      </w:pPr>
      <w:hyperlink w:anchor="_Toc88063373" w:history="1">
        <w:r w:rsidR="004F73F3" w:rsidRPr="004F73F3">
          <w:rPr>
            <w:rStyle w:val="Hyperlink"/>
            <w:rFonts w:ascii="Arial" w:hAnsi="Arial" w:cs="Arial"/>
            <w:noProof/>
          </w:rPr>
          <w:t>9.</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Queries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_Toc88063373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38FB541E" w14:textId="1DC64E30" w:rsidR="004F73F3" w:rsidRPr="004F73F3" w:rsidRDefault="00200C71">
      <w:pPr>
        <w:pStyle w:val="TOC2"/>
        <w:rPr>
          <w:rFonts w:ascii="Arial" w:eastAsiaTheme="minorEastAsia" w:hAnsi="Arial" w:cs="Arial"/>
          <w:noProof/>
          <w:sz w:val="22"/>
          <w:szCs w:val="22"/>
        </w:rPr>
      </w:pPr>
      <w:hyperlink w:anchor="_Toc88063374" w:history="1">
        <w:r w:rsidR="004F73F3" w:rsidRPr="004F73F3">
          <w:rPr>
            <w:rStyle w:val="Hyperlink"/>
            <w:rFonts w:ascii="Arial" w:hAnsi="Arial" w:cs="Arial"/>
            <w:noProof/>
          </w:rPr>
          <w:t>10.</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Reference documents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_Toc88063374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1CD6E369" w14:textId="60773C3A" w:rsidR="004F73F3" w:rsidRPr="004F73F3" w:rsidRDefault="00200C71">
      <w:pPr>
        <w:pStyle w:val="TOC2"/>
        <w:rPr>
          <w:rFonts w:ascii="Arial" w:eastAsiaTheme="minorEastAsia" w:hAnsi="Arial" w:cs="Arial"/>
          <w:noProof/>
          <w:sz w:val="22"/>
          <w:szCs w:val="22"/>
        </w:rPr>
      </w:pPr>
      <w:hyperlink w:anchor="_Toc88063375" w:history="1">
        <w:r w:rsidR="004F73F3" w:rsidRPr="004F73F3">
          <w:rPr>
            <w:rStyle w:val="Hyperlink"/>
            <w:rFonts w:ascii="Arial" w:hAnsi="Arial" w:cs="Arial"/>
            <w:noProof/>
          </w:rPr>
          <w:t>11.</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Return of submissions</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_Toc88063375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10</w:t>
        </w:r>
        <w:r w:rsidR="004F73F3" w:rsidRPr="004F73F3">
          <w:rPr>
            <w:rFonts w:ascii="Arial" w:hAnsi="Arial" w:cs="Arial"/>
            <w:noProof/>
            <w:webHidden/>
          </w:rPr>
          <w:fldChar w:fldCharType="end"/>
        </w:r>
      </w:hyperlink>
    </w:p>
    <w:p w14:paraId="7ADEE4D2" w14:textId="0D4E5016" w:rsidR="004F73F3" w:rsidRPr="004F73F3" w:rsidRDefault="00200C71">
      <w:pPr>
        <w:pStyle w:val="TOC2"/>
        <w:rPr>
          <w:rFonts w:ascii="Arial" w:eastAsiaTheme="minorEastAsia" w:hAnsi="Arial" w:cs="Arial"/>
          <w:noProof/>
          <w:sz w:val="22"/>
          <w:szCs w:val="22"/>
        </w:rPr>
      </w:pPr>
      <w:hyperlink w:anchor="_Toc88063376" w:history="1">
        <w:r w:rsidR="004F73F3" w:rsidRPr="004F73F3">
          <w:rPr>
            <w:rStyle w:val="Hyperlink"/>
            <w:rFonts w:ascii="Arial" w:hAnsi="Arial" w:cs="Arial"/>
            <w:noProof/>
          </w:rPr>
          <w:t>12.</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Disclaimer</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_Toc88063376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11</w:t>
        </w:r>
        <w:r w:rsidR="004F73F3" w:rsidRPr="004F73F3">
          <w:rPr>
            <w:rFonts w:ascii="Arial" w:hAnsi="Arial" w:cs="Arial"/>
            <w:noProof/>
            <w:webHidden/>
          </w:rPr>
          <w:fldChar w:fldCharType="end"/>
        </w:r>
      </w:hyperlink>
    </w:p>
    <w:p w14:paraId="53FD3689" w14:textId="0B080391" w:rsidR="004F73F3" w:rsidRPr="004F73F3" w:rsidRDefault="00200C71">
      <w:pPr>
        <w:pStyle w:val="TOC2"/>
        <w:rPr>
          <w:rFonts w:ascii="Arial" w:eastAsiaTheme="minorEastAsia" w:hAnsi="Arial" w:cs="Arial"/>
          <w:noProof/>
          <w:sz w:val="22"/>
          <w:szCs w:val="22"/>
        </w:rPr>
      </w:pPr>
      <w:hyperlink w:anchor="_Toc88063377" w:history="1">
        <w:r w:rsidR="004F73F3" w:rsidRPr="004F73F3">
          <w:rPr>
            <w:rStyle w:val="Hyperlink"/>
            <w:rFonts w:ascii="Arial" w:hAnsi="Arial" w:cs="Arial"/>
            <w:noProof/>
          </w:rPr>
          <w:t>13.</w:t>
        </w:r>
        <w:r w:rsidR="004F73F3" w:rsidRPr="004F73F3">
          <w:rPr>
            <w:rFonts w:ascii="Arial" w:eastAsiaTheme="minorEastAsia" w:hAnsi="Arial" w:cs="Arial"/>
            <w:noProof/>
            <w:sz w:val="22"/>
            <w:szCs w:val="22"/>
          </w:rPr>
          <w:tab/>
        </w:r>
        <w:r w:rsidR="004F73F3" w:rsidRPr="004F73F3">
          <w:rPr>
            <w:rStyle w:val="Hyperlink"/>
            <w:rFonts w:ascii="Arial" w:hAnsi="Arial" w:cs="Arial"/>
            <w:noProof/>
          </w:rPr>
          <w:t>Sample stage 1 Marking Sheet</w:t>
        </w:r>
        <w:r w:rsidR="004F73F3" w:rsidRPr="004F73F3">
          <w:rPr>
            <w:rFonts w:ascii="Arial" w:hAnsi="Arial" w:cs="Arial"/>
            <w:noProof/>
            <w:webHidden/>
          </w:rPr>
          <w:tab/>
        </w:r>
        <w:r w:rsidR="004F73F3" w:rsidRPr="004F73F3">
          <w:rPr>
            <w:rFonts w:ascii="Arial" w:hAnsi="Arial" w:cs="Arial"/>
            <w:noProof/>
            <w:webHidden/>
          </w:rPr>
          <w:fldChar w:fldCharType="begin"/>
        </w:r>
        <w:r w:rsidR="004F73F3" w:rsidRPr="004F73F3">
          <w:rPr>
            <w:rFonts w:ascii="Arial" w:hAnsi="Arial" w:cs="Arial"/>
            <w:noProof/>
            <w:webHidden/>
          </w:rPr>
          <w:instrText xml:space="preserve"> PAGEREF _Toc88063377 \h </w:instrText>
        </w:r>
        <w:r w:rsidR="004F73F3" w:rsidRPr="004F73F3">
          <w:rPr>
            <w:rFonts w:ascii="Arial" w:hAnsi="Arial" w:cs="Arial"/>
            <w:noProof/>
            <w:webHidden/>
          </w:rPr>
        </w:r>
        <w:r w:rsidR="004F73F3" w:rsidRPr="004F73F3">
          <w:rPr>
            <w:rFonts w:ascii="Arial" w:hAnsi="Arial" w:cs="Arial"/>
            <w:noProof/>
            <w:webHidden/>
          </w:rPr>
          <w:fldChar w:fldCharType="separate"/>
        </w:r>
        <w:r w:rsidR="004F73F3" w:rsidRPr="004F73F3">
          <w:rPr>
            <w:rFonts w:ascii="Arial" w:hAnsi="Arial" w:cs="Arial"/>
            <w:noProof/>
            <w:webHidden/>
          </w:rPr>
          <w:t>12</w:t>
        </w:r>
        <w:r w:rsidR="004F73F3" w:rsidRPr="004F73F3">
          <w:rPr>
            <w:rFonts w:ascii="Arial" w:hAnsi="Arial" w:cs="Arial"/>
            <w:noProof/>
            <w:webHidden/>
          </w:rPr>
          <w:fldChar w:fldCharType="end"/>
        </w:r>
      </w:hyperlink>
    </w:p>
    <w:p w14:paraId="369E0856" w14:textId="3422157D" w:rsidR="00F24933" w:rsidRPr="00CA6930" w:rsidRDefault="003F0D70" w:rsidP="00CA6930">
      <w:pPr>
        <w:spacing w:line="276" w:lineRule="auto"/>
        <w:rPr>
          <w:rFonts w:ascii="Arial" w:hAnsi="Arial" w:cs="Arial"/>
          <w:sz w:val="22"/>
          <w:szCs w:val="22"/>
        </w:rPr>
      </w:pPr>
      <w:r w:rsidRPr="004F73F3">
        <w:rPr>
          <w:rFonts w:ascii="Arial" w:hAnsi="Arial" w:cs="Arial"/>
          <w:sz w:val="22"/>
          <w:szCs w:val="22"/>
        </w:rPr>
        <w:fldChar w:fldCharType="end"/>
      </w:r>
    </w:p>
    <w:p w14:paraId="45E01BCF" w14:textId="77777777" w:rsidR="00F24933" w:rsidRPr="00CA6930" w:rsidRDefault="00F24933" w:rsidP="00CA6930">
      <w:pPr>
        <w:spacing w:after="160" w:line="276" w:lineRule="auto"/>
        <w:rPr>
          <w:rFonts w:ascii="Arial" w:hAnsi="Arial" w:cs="Arial"/>
          <w:sz w:val="22"/>
          <w:szCs w:val="22"/>
        </w:rPr>
      </w:pPr>
      <w:r w:rsidRPr="00CA6930">
        <w:rPr>
          <w:rFonts w:ascii="Arial" w:hAnsi="Arial" w:cs="Arial"/>
          <w:sz w:val="22"/>
          <w:szCs w:val="22"/>
        </w:rPr>
        <w:br w:type="page"/>
      </w:r>
    </w:p>
    <w:p w14:paraId="26D994A0" w14:textId="5B4A4073" w:rsidR="00B43FA4" w:rsidRPr="00CA6930" w:rsidRDefault="00B43FA4" w:rsidP="00CA6930">
      <w:pPr>
        <w:pStyle w:val="Heading2"/>
        <w:spacing w:line="276" w:lineRule="auto"/>
        <w:rPr>
          <w:sz w:val="22"/>
          <w:szCs w:val="22"/>
        </w:rPr>
      </w:pPr>
      <w:bookmarkStart w:id="0" w:name="_Toc86343278"/>
      <w:bookmarkStart w:id="1" w:name="_Toc88063356"/>
      <w:r w:rsidRPr="00CA6930">
        <w:rPr>
          <w:sz w:val="22"/>
          <w:szCs w:val="22"/>
        </w:rPr>
        <w:lastRenderedPageBreak/>
        <w:t>Introduction</w:t>
      </w:r>
      <w:bookmarkEnd w:id="0"/>
      <w:bookmarkEnd w:id="1"/>
      <w:r w:rsidRPr="00CA6930">
        <w:rPr>
          <w:sz w:val="22"/>
          <w:szCs w:val="22"/>
        </w:rPr>
        <w:t xml:space="preserve"> </w:t>
      </w:r>
    </w:p>
    <w:p w14:paraId="1F025196" w14:textId="77777777" w:rsidR="00484631" w:rsidRPr="00CA6930" w:rsidRDefault="00484631" w:rsidP="00CA6930">
      <w:pPr>
        <w:spacing w:line="276" w:lineRule="auto"/>
        <w:rPr>
          <w:rFonts w:ascii="Arial" w:hAnsi="Arial" w:cs="Arial"/>
          <w:sz w:val="22"/>
          <w:szCs w:val="22"/>
        </w:rPr>
      </w:pPr>
    </w:p>
    <w:p w14:paraId="00AD9584" w14:textId="77777777" w:rsidR="00484631" w:rsidRPr="00CA6930" w:rsidRDefault="00484631" w:rsidP="00CA6930">
      <w:pPr>
        <w:spacing w:line="276" w:lineRule="auto"/>
        <w:rPr>
          <w:rFonts w:ascii="Arial" w:hAnsi="Arial" w:cs="Arial"/>
          <w:sz w:val="22"/>
          <w:szCs w:val="22"/>
        </w:rPr>
      </w:pPr>
      <w:r w:rsidRPr="00CA6930">
        <w:rPr>
          <w:rFonts w:ascii="Arial" w:hAnsi="Arial" w:cs="Arial"/>
          <w:color w:val="000000"/>
          <w:sz w:val="22"/>
          <w:szCs w:val="22"/>
        </w:rPr>
        <w:t>‘</w:t>
      </w:r>
      <w:r w:rsidRPr="00CA6930">
        <w:rPr>
          <w:rFonts w:ascii="Arial" w:hAnsi="Arial" w:cs="Arial"/>
          <w:sz w:val="22"/>
          <w:szCs w:val="22"/>
        </w:rPr>
        <w:t>Housing for All - a New Housing Plan for Ireland’ is the government’s housing plan to 2030.</w:t>
      </w:r>
    </w:p>
    <w:p w14:paraId="205F0117" w14:textId="77777777" w:rsidR="0086229E" w:rsidRPr="00CA6930" w:rsidRDefault="0086229E" w:rsidP="00CA6930">
      <w:pPr>
        <w:spacing w:line="276" w:lineRule="auto"/>
        <w:rPr>
          <w:rFonts w:ascii="Arial" w:hAnsi="Arial" w:cs="Arial"/>
          <w:sz w:val="22"/>
          <w:szCs w:val="22"/>
        </w:rPr>
      </w:pPr>
    </w:p>
    <w:p w14:paraId="1E4DA32D" w14:textId="513F6B27" w:rsidR="00484631" w:rsidRPr="00CA6930" w:rsidRDefault="00484631" w:rsidP="00CA6930">
      <w:pPr>
        <w:spacing w:line="276" w:lineRule="auto"/>
        <w:rPr>
          <w:rFonts w:ascii="Arial" w:hAnsi="Arial" w:cs="Arial"/>
          <w:sz w:val="22"/>
          <w:szCs w:val="22"/>
        </w:rPr>
      </w:pPr>
      <w:r w:rsidRPr="00CA6930">
        <w:rPr>
          <w:rFonts w:ascii="Arial" w:hAnsi="Arial" w:cs="Arial"/>
          <w:sz w:val="22"/>
          <w:szCs w:val="22"/>
        </w:rPr>
        <w:t>It is a multi-annual, multi-billion euro plan which will improve Ireland’s housing system and deliver more homes for people with different housing needs.</w:t>
      </w:r>
    </w:p>
    <w:p w14:paraId="04277DBE" w14:textId="77777777" w:rsidR="00B43FA4" w:rsidRPr="00CA6930" w:rsidRDefault="00B43FA4" w:rsidP="00CA6930">
      <w:pPr>
        <w:pStyle w:val="Default"/>
        <w:spacing w:line="276" w:lineRule="auto"/>
        <w:jc w:val="both"/>
        <w:rPr>
          <w:sz w:val="22"/>
          <w:szCs w:val="22"/>
        </w:rPr>
      </w:pPr>
    </w:p>
    <w:p w14:paraId="3DCBF3C8" w14:textId="1C4B632E" w:rsidR="00364A41" w:rsidRPr="00CA6930" w:rsidRDefault="00364A41" w:rsidP="00CA6930">
      <w:pPr>
        <w:spacing w:line="276" w:lineRule="auto"/>
        <w:rPr>
          <w:rFonts w:ascii="Arial" w:hAnsi="Arial" w:cs="Arial"/>
          <w:sz w:val="22"/>
          <w:szCs w:val="22"/>
        </w:rPr>
      </w:pPr>
      <w:r w:rsidRPr="00CA6930">
        <w:rPr>
          <w:rFonts w:ascii="Arial" w:hAnsi="Arial" w:cs="Arial"/>
          <w:sz w:val="22"/>
          <w:szCs w:val="22"/>
        </w:rPr>
        <w:t>It is an objective of</w:t>
      </w:r>
      <w:r w:rsidR="0077174A">
        <w:rPr>
          <w:rFonts w:ascii="Arial" w:hAnsi="Arial" w:cs="Arial"/>
          <w:sz w:val="22"/>
          <w:szCs w:val="22"/>
        </w:rPr>
        <w:t xml:space="preserve"> Meath County Council</w:t>
      </w:r>
      <w:r w:rsidRPr="00CA6930">
        <w:rPr>
          <w:rFonts w:ascii="Arial" w:hAnsi="Arial" w:cs="Arial"/>
          <w:sz w:val="22"/>
          <w:szCs w:val="22"/>
        </w:rPr>
        <w:t xml:space="preserve"> to create sustainable communities by encouraging a mix of</w:t>
      </w:r>
      <w:r w:rsidR="0062518C" w:rsidRPr="00CA6930">
        <w:rPr>
          <w:rFonts w:ascii="Arial" w:hAnsi="Arial" w:cs="Arial"/>
          <w:sz w:val="22"/>
          <w:szCs w:val="22"/>
        </w:rPr>
        <w:t xml:space="preserve"> </w:t>
      </w:r>
      <w:r w:rsidR="00103BA7" w:rsidRPr="00CA6930">
        <w:rPr>
          <w:rFonts w:ascii="Arial" w:hAnsi="Arial" w:cs="Arial"/>
          <w:sz w:val="22"/>
          <w:szCs w:val="22"/>
        </w:rPr>
        <w:t xml:space="preserve">mixed tenure </w:t>
      </w:r>
      <w:r w:rsidR="00337DF3" w:rsidRPr="00CA6930">
        <w:rPr>
          <w:rFonts w:ascii="Arial" w:hAnsi="Arial" w:cs="Arial"/>
          <w:sz w:val="22"/>
          <w:szCs w:val="22"/>
        </w:rPr>
        <w:t>(i.e. affordable and social)</w:t>
      </w:r>
      <w:r w:rsidR="00103BA7" w:rsidRPr="00CA6930">
        <w:rPr>
          <w:rFonts w:ascii="Arial" w:hAnsi="Arial" w:cs="Arial"/>
          <w:sz w:val="22"/>
          <w:szCs w:val="22"/>
        </w:rPr>
        <w:t xml:space="preserve"> and mono tenure </w:t>
      </w:r>
      <w:r w:rsidR="00042015" w:rsidRPr="00CA6930">
        <w:rPr>
          <w:rFonts w:ascii="Arial" w:hAnsi="Arial" w:cs="Arial"/>
          <w:sz w:val="22"/>
          <w:szCs w:val="22"/>
        </w:rPr>
        <w:t>(i.e. affordable or social)</w:t>
      </w:r>
      <w:r w:rsidR="00103BA7" w:rsidRPr="00CA6930">
        <w:rPr>
          <w:rFonts w:ascii="Arial" w:hAnsi="Arial" w:cs="Arial"/>
          <w:sz w:val="22"/>
          <w:szCs w:val="22"/>
        </w:rPr>
        <w:t xml:space="preserve"> housing</w:t>
      </w:r>
      <w:r w:rsidR="00042015" w:rsidRPr="00CA6930">
        <w:rPr>
          <w:rFonts w:ascii="Arial" w:hAnsi="Arial" w:cs="Arial"/>
          <w:sz w:val="22"/>
          <w:szCs w:val="22"/>
        </w:rPr>
        <w:t xml:space="preserve">. </w:t>
      </w:r>
      <w:r w:rsidR="00103BA7" w:rsidRPr="00CA6930">
        <w:rPr>
          <w:rFonts w:ascii="Arial" w:hAnsi="Arial" w:cs="Arial"/>
          <w:sz w:val="22"/>
          <w:szCs w:val="22"/>
        </w:rPr>
        <w:t xml:space="preserve"> </w:t>
      </w:r>
    </w:p>
    <w:p w14:paraId="334306A3" w14:textId="77777777" w:rsidR="00364A41" w:rsidRPr="00CA6930" w:rsidRDefault="00364A41" w:rsidP="00CA6930">
      <w:pPr>
        <w:spacing w:line="276" w:lineRule="auto"/>
        <w:rPr>
          <w:rFonts w:ascii="Arial" w:hAnsi="Arial" w:cs="Arial"/>
          <w:sz w:val="22"/>
          <w:szCs w:val="22"/>
        </w:rPr>
      </w:pPr>
    </w:p>
    <w:p w14:paraId="1C8C9CDE" w14:textId="6C82C682" w:rsidR="00B95C26" w:rsidRPr="00CA6930" w:rsidRDefault="0077174A" w:rsidP="00CA6930">
      <w:pPr>
        <w:spacing w:line="276" w:lineRule="auto"/>
        <w:rPr>
          <w:rFonts w:ascii="Arial" w:hAnsi="Arial" w:cs="Arial"/>
          <w:sz w:val="22"/>
          <w:szCs w:val="22"/>
        </w:rPr>
      </w:pPr>
      <w:r>
        <w:rPr>
          <w:rFonts w:ascii="Arial" w:hAnsi="Arial" w:cs="Arial"/>
          <w:sz w:val="22"/>
          <w:szCs w:val="22"/>
        </w:rPr>
        <w:t>Meath County Council</w:t>
      </w:r>
      <w:r w:rsidR="00B43FA4" w:rsidRPr="00CA6930">
        <w:rPr>
          <w:rFonts w:ascii="Arial" w:hAnsi="Arial" w:cs="Arial"/>
          <w:sz w:val="22"/>
          <w:szCs w:val="22"/>
        </w:rPr>
        <w:t xml:space="preserve"> is seeking to increase the </w:t>
      </w:r>
      <w:r w:rsidR="0062518C" w:rsidRPr="00CA6930">
        <w:rPr>
          <w:rFonts w:ascii="Arial" w:hAnsi="Arial" w:cs="Arial"/>
          <w:sz w:val="22"/>
          <w:szCs w:val="22"/>
        </w:rPr>
        <w:t xml:space="preserve">availability </w:t>
      </w:r>
      <w:r w:rsidR="00B43FA4" w:rsidRPr="00CA6930">
        <w:rPr>
          <w:rFonts w:ascii="Arial" w:hAnsi="Arial" w:cs="Arial"/>
          <w:sz w:val="22"/>
          <w:szCs w:val="22"/>
        </w:rPr>
        <w:t>of affordable</w:t>
      </w:r>
      <w:r w:rsidR="00C87D42" w:rsidRPr="00CA6930">
        <w:rPr>
          <w:rFonts w:ascii="Arial" w:hAnsi="Arial" w:cs="Arial"/>
          <w:sz w:val="22"/>
          <w:szCs w:val="22"/>
        </w:rPr>
        <w:t xml:space="preserve"> and s</w:t>
      </w:r>
      <w:r w:rsidR="00F00BFC" w:rsidRPr="00CA6930">
        <w:rPr>
          <w:rFonts w:ascii="Arial" w:hAnsi="Arial" w:cs="Arial"/>
          <w:sz w:val="22"/>
          <w:szCs w:val="22"/>
        </w:rPr>
        <w:t>ocial</w:t>
      </w:r>
      <w:r w:rsidR="00B43FA4" w:rsidRPr="00CA6930">
        <w:rPr>
          <w:rFonts w:ascii="Arial" w:hAnsi="Arial" w:cs="Arial"/>
          <w:sz w:val="22"/>
          <w:szCs w:val="22"/>
        </w:rPr>
        <w:t xml:space="preserve"> housing through various delivery mechanisms</w:t>
      </w:r>
      <w:r w:rsidR="00364A41" w:rsidRPr="00CA6930">
        <w:rPr>
          <w:rFonts w:ascii="Arial" w:hAnsi="Arial" w:cs="Arial"/>
          <w:sz w:val="22"/>
          <w:szCs w:val="22"/>
        </w:rPr>
        <w:t xml:space="preserve"> </w:t>
      </w:r>
      <w:r w:rsidR="0062518C" w:rsidRPr="00CA6930">
        <w:rPr>
          <w:rFonts w:ascii="Arial" w:hAnsi="Arial" w:cs="Arial"/>
          <w:sz w:val="22"/>
          <w:szCs w:val="22"/>
        </w:rPr>
        <w:t>including th</w:t>
      </w:r>
      <w:r w:rsidR="00857296" w:rsidRPr="00CA6930">
        <w:rPr>
          <w:rFonts w:ascii="Arial" w:hAnsi="Arial" w:cs="Arial"/>
          <w:sz w:val="22"/>
          <w:szCs w:val="22"/>
        </w:rPr>
        <w:t xml:space="preserve">rough advance purchase arrangements with </w:t>
      </w:r>
      <w:r w:rsidR="00314FAD" w:rsidRPr="00CA6930">
        <w:rPr>
          <w:rFonts w:ascii="Arial" w:hAnsi="Arial" w:cs="Arial"/>
          <w:sz w:val="22"/>
          <w:szCs w:val="22"/>
        </w:rPr>
        <w:t xml:space="preserve">home </w:t>
      </w:r>
      <w:r w:rsidR="00A25CBD" w:rsidRPr="00CA6930">
        <w:rPr>
          <w:rFonts w:ascii="Arial" w:hAnsi="Arial" w:cs="Arial"/>
          <w:sz w:val="22"/>
          <w:szCs w:val="22"/>
        </w:rPr>
        <w:t>builders</w:t>
      </w:r>
      <w:r w:rsidR="00314FAD" w:rsidRPr="00CA6930">
        <w:rPr>
          <w:rFonts w:ascii="Arial" w:hAnsi="Arial" w:cs="Arial"/>
          <w:sz w:val="22"/>
          <w:szCs w:val="22"/>
        </w:rPr>
        <w:t xml:space="preserve"> and </w:t>
      </w:r>
      <w:r w:rsidR="00A25CBD" w:rsidRPr="00CA6930">
        <w:rPr>
          <w:rFonts w:ascii="Arial" w:hAnsi="Arial" w:cs="Arial"/>
          <w:sz w:val="22"/>
          <w:szCs w:val="22"/>
        </w:rPr>
        <w:t xml:space="preserve">housing developers. </w:t>
      </w:r>
    </w:p>
    <w:p w14:paraId="75042541" w14:textId="77777777" w:rsidR="005C6588" w:rsidRPr="00CA6930" w:rsidRDefault="005C6588" w:rsidP="00CA6930">
      <w:pPr>
        <w:spacing w:line="276" w:lineRule="auto"/>
        <w:rPr>
          <w:rFonts w:ascii="Arial" w:hAnsi="Arial" w:cs="Arial"/>
          <w:sz w:val="22"/>
          <w:szCs w:val="22"/>
        </w:rPr>
      </w:pPr>
    </w:p>
    <w:p w14:paraId="6A7301B8" w14:textId="00E0E294" w:rsidR="00CE1BF9" w:rsidRPr="00CA6930" w:rsidRDefault="006209CC" w:rsidP="00CA6930">
      <w:pPr>
        <w:widowControl w:val="0"/>
        <w:spacing w:line="276" w:lineRule="auto"/>
        <w:rPr>
          <w:rFonts w:ascii="Arial" w:hAnsi="Arial" w:cs="Arial"/>
          <w:sz w:val="22"/>
          <w:szCs w:val="22"/>
          <w:u w:val="single"/>
        </w:rPr>
      </w:pPr>
      <w:r w:rsidRPr="00CA6930">
        <w:rPr>
          <w:rFonts w:ascii="Arial" w:hAnsi="Arial" w:cs="Arial"/>
          <w:sz w:val="22"/>
          <w:szCs w:val="22"/>
        </w:rPr>
        <w:t>In this call, h</w:t>
      </w:r>
      <w:r w:rsidR="00A25CBD" w:rsidRPr="00CA6930">
        <w:rPr>
          <w:rFonts w:ascii="Arial" w:hAnsi="Arial" w:cs="Arial"/>
          <w:sz w:val="22"/>
          <w:szCs w:val="22"/>
        </w:rPr>
        <w:t xml:space="preserve">ome builders and housing developers </w:t>
      </w:r>
      <w:r w:rsidR="00364A41" w:rsidRPr="00CA6930">
        <w:rPr>
          <w:rFonts w:ascii="Arial" w:hAnsi="Arial" w:cs="Arial"/>
          <w:sz w:val="22"/>
          <w:szCs w:val="22"/>
        </w:rPr>
        <w:t xml:space="preserve">are being asked to consider offering properties with planning permission, where construction </w:t>
      </w:r>
      <w:r w:rsidR="003D37AB" w:rsidRPr="00CA6930">
        <w:rPr>
          <w:rFonts w:ascii="Arial" w:hAnsi="Arial" w:cs="Arial"/>
          <w:sz w:val="22"/>
          <w:szCs w:val="22"/>
        </w:rPr>
        <w:t xml:space="preserve">of the development or a phase of a development </w:t>
      </w:r>
      <w:r w:rsidR="00364A41" w:rsidRPr="00CA6930">
        <w:rPr>
          <w:rFonts w:ascii="Arial" w:hAnsi="Arial" w:cs="Arial"/>
          <w:sz w:val="22"/>
          <w:szCs w:val="22"/>
        </w:rPr>
        <w:t>has not yet commenced, to local authorities under an advance purchase turnkey arrangement</w:t>
      </w:r>
      <w:r w:rsidR="006152EB" w:rsidRPr="00CA6930">
        <w:rPr>
          <w:rFonts w:ascii="Arial" w:hAnsi="Arial" w:cs="Arial"/>
          <w:sz w:val="22"/>
          <w:szCs w:val="22"/>
        </w:rPr>
        <w:t>, with payment on completion</w:t>
      </w:r>
      <w:r w:rsidRPr="00CA6930">
        <w:rPr>
          <w:rFonts w:ascii="Arial" w:hAnsi="Arial" w:cs="Arial"/>
          <w:sz w:val="22"/>
          <w:szCs w:val="22"/>
        </w:rPr>
        <w:t xml:space="preserve">, </w:t>
      </w:r>
      <w:r w:rsidRPr="005405AE">
        <w:rPr>
          <w:rFonts w:ascii="Arial" w:hAnsi="Arial" w:cs="Arial"/>
          <w:sz w:val="22"/>
          <w:szCs w:val="22"/>
        </w:rPr>
        <w:t>primarily for affordable housing purposes.</w:t>
      </w:r>
      <w:r w:rsidRPr="00CA6930">
        <w:rPr>
          <w:rFonts w:ascii="Arial" w:hAnsi="Arial" w:cs="Arial"/>
          <w:sz w:val="22"/>
          <w:szCs w:val="22"/>
        </w:rPr>
        <w:t xml:space="preserve"> </w:t>
      </w:r>
      <w:r w:rsidR="008562EB" w:rsidRPr="00CA6930">
        <w:rPr>
          <w:rFonts w:ascii="Arial" w:hAnsi="Arial" w:cs="Arial"/>
          <w:sz w:val="22"/>
          <w:szCs w:val="22"/>
        </w:rPr>
        <w:t xml:space="preserve">Please note that </w:t>
      </w:r>
      <w:r w:rsidR="00061989" w:rsidRPr="00CA6930">
        <w:rPr>
          <w:rFonts w:ascii="Arial" w:hAnsi="Arial" w:cs="Arial"/>
          <w:sz w:val="22"/>
          <w:szCs w:val="22"/>
        </w:rPr>
        <w:t xml:space="preserve">the requirements under </w:t>
      </w:r>
      <w:r w:rsidR="008562EB" w:rsidRPr="00CA6930">
        <w:rPr>
          <w:rFonts w:ascii="Arial" w:hAnsi="Arial" w:cs="Arial"/>
          <w:sz w:val="22"/>
          <w:szCs w:val="22"/>
        </w:rPr>
        <w:t>Part V of the Planning and Development Act 2000 as amended</w:t>
      </w:r>
      <w:r w:rsidR="00DD4755" w:rsidRPr="00CA6930">
        <w:rPr>
          <w:rFonts w:ascii="Arial" w:hAnsi="Arial" w:cs="Arial"/>
          <w:sz w:val="22"/>
          <w:szCs w:val="22"/>
        </w:rPr>
        <w:t xml:space="preserve"> </w:t>
      </w:r>
      <w:r w:rsidR="00061989" w:rsidRPr="00CA6930">
        <w:rPr>
          <w:rFonts w:ascii="Arial" w:hAnsi="Arial" w:cs="Arial"/>
          <w:sz w:val="22"/>
          <w:szCs w:val="22"/>
        </w:rPr>
        <w:t xml:space="preserve">will apply in the normal way to all proposals. </w:t>
      </w:r>
      <w:r w:rsidR="00010325" w:rsidRPr="00CA6930">
        <w:rPr>
          <w:rFonts w:ascii="Arial" w:hAnsi="Arial" w:cs="Arial"/>
          <w:sz w:val="22"/>
          <w:szCs w:val="22"/>
        </w:rPr>
        <w:t xml:space="preserve"> </w:t>
      </w:r>
    </w:p>
    <w:p w14:paraId="38ACB949" w14:textId="77777777" w:rsidR="00CE1BF9" w:rsidRPr="00CA6930" w:rsidRDefault="00CE1BF9" w:rsidP="00CA6930">
      <w:pPr>
        <w:widowControl w:val="0"/>
        <w:spacing w:line="276" w:lineRule="auto"/>
        <w:rPr>
          <w:rFonts w:ascii="Arial" w:hAnsi="Arial" w:cs="Arial"/>
          <w:sz w:val="22"/>
          <w:szCs w:val="22"/>
          <w:u w:val="single"/>
        </w:rPr>
      </w:pPr>
    </w:p>
    <w:p w14:paraId="21D5DD9E" w14:textId="02190A33" w:rsidR="00923644" w:rsidRPr="00CA6930" w:rsidRDefault="00A04BC5" w:rsidP="00CA6930">
      <w:pPr>
        <w:widowControl w:val="0"/>
        <w:spacing w:line="276" w:lineRule="auto"/>
        <w:rPr>
          <w:rFonts w:ascii="Arial" w:hAnsi="Arial" w:cs="Arial"/>
          <w:sz w:val="22"/>
          <w:szCs w:val="22"/>
          <w:u w:val="single"/>
        </w:rPr>
      </w:pPr>
      <w:r w:rsidRPr="00CA6930">
        <w:rPr>
          <w:rFonts w:ascii="Arial" w:hAnsi="Arial" w:cs="Arial"/>
          <w:sz w:val="22"/>
          <w:szCs w:val="22"/>
          <w:u w:val="single"/>
        </w:rPr>
        <w:t xml:space="preserve">Joint venture arrangements that include an Approved Housing Body </w:t>
      </w:r>
      <w:r w:rsidR="00903C66" w:rsidRPr="00CA6930">
        <w:rPr>
          <w:rFonts w:ascii="Arial" w:hAnsi="Arial" w:cs="Arial"/>
          <w:sz w:val="22"/>
          <w:szCs w:val="22"/>
          <w:u w:val="single"/>
        </w:rPr>
        <w:t xml:space="preserve">will be considered.  </w:t>
      </w:r>
    </w:p>
    <w:p w14:paraId="6AEDF7C1" w14:textId="77777777" w:rsidR="00A04BC5" w:rsidRPr="00CA6930" w:rsidRDefault="00A04BC5" w:rsidP="00CA6930">
      <w:pPr>
        <w:widowControl w:val="0"/>
        <w:spacing w:line="276" w:lineRule="auto"/>
        <w:rPr>
          <w:rFonts w:ascii="Arial" w:hAnsi="Arial" w:cs="Arial"/>
          <w:sz w:val="22"/>
          <w:szCs w:val="22"/>
        </w:rPr>
      </w:pPr>
    </w:p>
    <w:p w14:paraId="57AC98E3" w14:textId="20307379" w:rsidR="006E4815" w:rsidRPr="00CA6930" w:rsidRDefault="006E4815" w:rsidP="00CA6930">
      <w:pPr>
        <w:pStyle w:val="Heading3"/>
        <w:spacing w:line="276" w:lineRule="auto"/>
        <w:rPr>
          <w:rFonts w:ascii="Arial" w:hAnsi="Arial" w:cs="Arial"/>
          <w:sz w:val="22"/>
          <w:szCs w:val="22"/>
        </w:rPr>
      </w:pPr>
      <w:bookmarkStart w:id="2" w:name="_Toc88063357"/>
      <w:r w:rsidRPr="00CA6930">
        <w:rPr>
          <w:rFonts w:ascii="Arial" w:hAnsi="Arial" w:cs="Arial"/>
          <w:sz w:val="22"/>
          <w:szCs w:val="22"/>
        </w:rPr>
        <w:t>2.1</w:t>
      </w:r>
      <w:r w:rsidRPr="00CA6930">
        <w:rPr>
          <w:rFonts w:ascii="Arial" w:hAnsi="Arial" w:cs="Arial"/>
          <w:sz w:val="22"/>
          <w:szCs w:val="22"/>
        </w:rPr>
        <w:tab/>
      </w:r>
      <w:r w:rsidR="00564458" w:rsidRPr="00CA6930">
        <w:rPr>
          <w:rFonts w:ascii="Arial" w:hAnsi="Arial" w:cs="Arial"/>
          <w:sz w:val="22"/>
          <w:szCs w:val="22"/>
        </w:rPr>
        <w:t>Affordable Housing Funding (AHF)</w:t>
      </w:r>
      <w:bookmarkEnd w:id="2"/>
    </w:p>
    <w:p w14:paraId="76F5B117" w14:textId="77777777" w:rsidR="00061989" w:rsidRPr="00CA6930" w:rsidRDefault="00061989" w:rsidP="00CA6930">
      <w:pPr>
        <w:spacing w:line="276" w:lineRule="auto"/>
        <w:rPr>
          <w:rFonts w:ascii="Arial" w:hAnsi="Arial" w:cs="Arial"/>
          <w:sz w:val="22"/>
          <w:szCs w:val="22"/>
          <w:lang w:eastAsia="en-US"/>
        </w:rPr>
      </w:pPr>
    </w:p>
    <w:p w14:paraId="08DD7260" w14:textId="3602BF8C" w:rsidR="00113988" w:rsidRPr="00CA6930" w:rsidRDefault="00113988" w:rsidP="00CA6930">
      <w:pPr>
        <w:pStyle w:val="Heading4"/>
        <w:spacing w:line="276" w:lineRule="auto"/>
        <w:rPr>
          <w:rFonts w:ascii="Arial" w:hAnsi="Arial" w:cs="Arial"/>
          <w:sz w:val="22"/>
          <w:szCs w:val="22"/>
        </w:rPr>
      </w:pPr>
      <w:bookmarkStart w:id="3" w:name="_Toc88063358"/>
      <w:r w:rsidRPr="00CA6930">
        <w:rPr>
          <w:rFonts w:ascii="Arial" w:hAnsi="Arial" w:cs="Arial"/>
          <w:sz w:val="22"/>
          <w:szCs w:val="22"/>
        </w:rPr>
        <w:t>2.1.1</w:t>
      </w:r>
      <w:r w:rsidRPr="00CA6930">
        <w:rPr>
          <w:rFonts w:ascii="Arial" w:hAnsi="Arial" w:cs="Arial"/>
          <w:sz w:val="22"/>
          <w:szCs w:val="22"/>
        </w:rPr>
        <w:tab/>
        <w:t>Affordable Purchase</w:t>
      </w:r>
      <w:bookmarkEnd w:id="3"/>
      <w:r w:rsidRPr="00CA6930">
        <w:rPr>
          <w:rFonts w:ascii="Arial" w:hAnsi="Arial" w:cs="Arial"/>
          <w:sz w:val="22"/>
          <w:szCs w:val="22"/>
        </w:rPr>
        <w:t xml:space="preserve"> </w:t>
      </w:r>
    </w:p>
    <w:p w14:paraId="13722837" w14:textId="77777777" w:rsidR="006E4815" w:rsidRPr="00CA6930" w:rsidRDefault="006E4815" w:rsidP="00CA6930">
      <w:pPr>
        <w:pStyle w:val="Default"/>
        <w:spacing w:line="276" w:lineRule="auto"/>
        <w:jc w:val="both"/>
        <w:rPr>
          <w:b/>
          <w:color w:val="222A35" w:themeColor="text2" w:themeShade="80"/>
          <w:sz w:val="22"/>
          <w:szCs w:val="22"/>
        </w:rPr>
      </w:pPr>
    </w:p>
    <w:p w14:paraId="09572F72" w14:textId="10C8075B" w:rsidR="00364A41" w:rsidRDefault="009E75B4" w:rsidP="00CA6930">
      <w:pPr>
        <w:widowControl w:val="0"/>
        <w:spacing w:line="276" w:lineRule="auto"/>
        <w:rPr>
          <w:rFonts w:ascii="Arial" w:hAnsi="Arial" w:cs="Arial"/>
          <w:sz w:val="22"/>
          <w:szCs w:val="22"/>
        </w:rPr>
      </w:pPr>
      <w:r w:rsidRPr="00CA6930">
        <w:rPr>
          <w:rFonts w:ascii="Arial" w:hAnsi="Arial" w:cs="Arial"/>
          <w:sz w:val="22"/>
          <w:szCs w:val="22"/>
        </w:rPr>
        <w:t xml:space="preserve">Where </w:t>
      </w:r>
      <w:r w:rsidR="001062FE" w:rsidRPr="00CA6930">
        <w:rPr>
          <w:rFonts w:ascii="Arial" w:hAnsi="Arial" w:cs="Arial"/>
          <w:sz w:val="22"/>
          <w:szCs w:val="22"/>
        </w:rPr>
        <w:t xml:space="preserve">appropriate </w:t>
      </w:r>
      <w:r w:rsidRPr="00CA6930">
        <w:rPr>
          <w:rFonts w:ascii="Arial" w:hAnsi="Arial" w:cs="Arial"/>
          <w:sz w:val="22"/>
          <w:szCs w:val="22"/>
        </w:rPr>
        <w:t>proposal</w:t>
      </w:r>
      <w:r w:rsidR="00DF370A" w:rsidRPr="00CA6930">
        <w:rPr>
          <w:rFonts w:ascii="Arial" w:hAnsi="Arial" w:cs="Arial"/>
          <w:sz w:val="22"/>
          <w:szCs w:val="22"/>
        </w:rPr>
        <w:t>s</w:t>
      </w:r>
      <w:r w:rsidRPr="00CA6930">
        <w:rPr>
          <w:rFonts w:ascii="Arial" w:hAnsi="Arial" w:cs="Arial"/>
          <w:sz w:val="22"/>
          <w:szCs w:val="22"/>
        </w:rPr>
        <w:t xml:space="preserve"> </w:t>
      </w:r>
      <w:r w:rsidR="00B84FF4" w:rsidRPr="00CA6930">
        <w:rPr>
          <w:rFonts w:ascii="Arial" w:hAnsi="Arial" w:cs="Arial"/>
          <w:sz w:val="22"/>
          <w:szCs w:val="22"/>
        </w:rPr>
        <w:t>for</w:t>
      </w:r>
      <w:r w:rsidRPr="00CA6930">
        <w:rPr>
          <w:rFonts w:ascii="Arial" w:hAnsi="Arial" w:cs="Arial"/>
          <w:sz w:val="22"/>
          <w:szCs w:val="22"/>
        </w:rPr>
        <w:t xml:space="preserve"> affordable or mixed tenure </w:t>
      </w:r>
      <w:r w:rsidR="00B84FF4" w:rsidRPr="00CA6930">
        <w:rPr>
          <w:rFonts w:ascii="Arial" w:hAnsi="Arial" w:cs="Arial"/>
          <w:sz w:val="22"/>
          <w:szCs w:val="22"/>
        </w:rPr>
        <w:t>dwellings are received</w:t>
      </w:r>
      <w:r w:rsidR="005405AE">
        <w:rPr>
          <w:rFonts w:ascii="Arial" w:hAnsi="Arial" w:cs="Arial"/>
          <w:sz w:val="22"/>
          <w:szCs w:val="22"/>
        </w:rPr>
        <w:t xml:space="preserve"> and considered acceptable,</w:t>
      </w:r>
      <w:r w:rsidR="0077174A">
        <w:rPr>
          <w:rFonts w:ascii="Arial" w:hAnsi="Arial" w:cs="Arial"/>
          <w:sz w:val="22"/>
          <w:szCs w:val="22"/>
        </w:rPr>
        <w:t xml:space="preserve"> Meath County Council</w:t>
      </w:r>
      <w:r w:rsidR="00BE0706" w:rsidRPr="00CA6930">
        <w:rPr>
          <w:rFonts w:ascii="Arial" w:hAnsi="Arial" w:cs="Arial"/>
          <w:sz w:val="22"/>
          <w:szCs w:val="22"/>
        </w:rPr>
        <w:t xml:space="preserve"> </w:t>
      </w:r>
      <w:r w:rsidR="002748DF" w:rsidRPr="00CA6930">
        <w:rPr>
          <w:rFonts w:ascii="Arial" w:hAnsi="Arial" w:cs="Arial"/>
          <w:sz w:val="22"/>
          <w:szCs w:val="22"/>
        </w:rPr>
        <w:t xml:space="preserve">can </w:t>
      </w:r>
      <w:r w:rsidR="00BE0706" w:rsidRPr="00CA6930">
        <w:rPr>
          <w:rFonts w:ascii="Arial" w:hAnsi="Arial" w:cs="Arial"/>
          <w:sz w:val="22"/>
          <w:szCs w:val="22"/>
        </w:rPr>
        <w:t xml:space="preserve">seek </w:t>
      </w:r>
      <w:r w:rsidR="007F02F0" w:rsidRPr="00CA6930">
        <w:rPr>
          <w:rFonts w:ascii="Arial" w:hAnsi="Arial" w:cs="Arial"/>
          <w:sz w:val="22"/>
          <w:szCs w:val="22"/>
        </w:rPr>
        <w:t xml:space="preserve">Affordable </w:t>
      </w:r>
      <w:r w:rsidR="00B13CE0" w:rsidRPr="00CA6930">
        <w:rPr>
          <w:rFonts w:ascii="Arial" w:hAnsi="Arial" w:cs="Arial"/>
          <w:sz w:val="22"/>
          <w:szCs w:val="22"/>
        </w:rPr>
        <w:t>H</w:t>
      </w:r>
      <w:r w:rsidR="007F02F0" w:rsidRPr="00CA6930">
        <w:rPr>
          <w:rFonts w:ascii="Arial" w:hAnsi="Arial" w:cs="Arial"/>
          <w:sz w:val="22"/>
          <w:szCs w:val="22"/>
        </w:rPr>
        <w:t>ousing Funding (</w:t>
      </w:r>
      <w:r w:rsidR="00BE0706" w:rsidRPr="00CA6930">
        <w:rPr>
          <w:rFonts w:ascii="Arial" w:hAnsi="Arial" w:cs="Arial"/>
          <w:sz w:val="22"/>
          <w:szCs w:val="22"/>
        </w:rPr>
        <w:t>AHF</w:t>
      </w:r>
      <w:r w:rsidR="007F02F0" w:rsidRPr="00CA6930">
        <w:rPr>
          <w:rFonts w:ascii="Arial" w:hAnsi="Arial" w:cs="Arial"/>
          <w:sz w:val="22"/>
          <w:szCs w:val="22"/>
        </w:rPr>
        <w:t xml:space="preserve">) from the </w:t>
      </w:r>
      <w:r w:rsidR="00FD2DC3" w:rsidRPr="00CA6930">
        <w:rPr>
          <w:rFonts w:ascii="Arial" w:hAnsi="Arial" w:cs="Arial"/>
          <w:sz w:val="22"/>
          <w:szCs w:val="22"/>
        </w:rPr>
        <w:t xml:space="preserve">Department of Housing, </w:t>
      </w:r>
      <w:r w:rsidR="00C82CD2" w:rsidRPr="00CA6930">
        <w:rPr>
          <w:rFonts w:ascii="Arial" w:hAnsi="Arial" w:cs="Arial"/>
          <w:sz w:val="22"/>
          <w:szCs w:val="22"/>
        </w:rPr>
        <w:t>Local Government and Heritage (DHLGH)</w:t>
      </w:r>
      <w:r w:rsidR="00FD2DC3" w:rsidRPr="00CA6930">
        <w:rPr>
          <w:rFonts w:ascii="Arial" w:hAnsi="Arial" w:cs="Arial"/>
          <w:sz w:val="22"/>
          <w:szCs w:val="22"/>
        </w:rPr>
        <w:t xml:space="preserve">. </w:t>
      </w:r>
    </w:p>
    <w:p w14:paraId="2AF0A1FB" w14:textId="77777777" w:rsidR="005405AE" w:rsidRPr="00CA6930" w:rsidRDefault="005405AE" w:rsidP="00CA6930">
      <w:pPr>
        <w:widowControl w:val="0"/>
        <w:spacing w:line="276" w:lineRule="auto"/>
        <w:rPr>
          <w:rFonts w:ascii="Arial" w:hAnsi="Arial" w:cs="Arial"/>
          <w:sz w:val="22"/>
          <w:szCs w:val="22"/>
        </w:rPr>
      </w:pPr>
    </w:p>
    <w:p w14:paraId="2A467B75" w14:textId="1C5087E4" w:rsidR="0037388E" w:rsidRPr="00CA6930" w:rsidRDefault="00061989" w:rsidP="00CA6930">
      <w:pPr>
        <w:pStyle w:val="CommentText"/>
        <w:spacing w:line="276" w:lineRule="auto"/>
        <w:rPr>
          <w:rFonts w:ascii="Arial" w:hAnsi="Arial" w:cs="Arial"/>
          <w:sz w:val="22"/>
          <w:szCs w:val="22"/>
        </w:rPr>
      </w:pPr>
      <w:r w:rsidRPr="00CA6930">
        <w:rPr>
          <w:rFonts w:ascii="Arial" w:hAnsi="Arial" w:cs="Arial"/>
          <w:sz w:val="22"/>
          <w:szCs w:val="22"/>
        </w:rPr>
        <w:t>T</w:t>
      </w:r>
      <w:r w:rsidR="00B95C26" w:rsidRPr="00CA6930">
        <w:rPr>
          <w:rFonts w:ascii="Arial" w:hAnsi="Arial" w:cs="Arial"/>
          <w:sz w:val="22"/>
          <w:szCs w:val="22"/>
        </w:rPr>
        <w:t>he Affordable Housing Fund (AHF) provide</w:t>
      </w:r>
      <w:r w:rsidR="00BD1BA6" w:rsidRPr="00CA6930">
        <w:rPr>
          <w:rFonts w:ascii="Arial" w:hAnsi="Arial" w:cs="Arial"/>
          <w:sz w:val="22"/>
          <w:szCs w:val="22"/>
        </w:rPr>
        <w:t>s</w:t>
      </w:r>
      <w:r w:rsidR="00B95C26" w:rsidRPr="00CA6930">
        <w:rPr>
          <w:rFonts w:ascii="Arial" w:hAnsi="Arial" w:cs="Arial"/>
          <w:sz w:val="22"/>
          <w:szCs w:val="22"/>
        </w:rPr>
        <w:t xml:space="preserve"> Exchequer funding support to local authorities to assist in meeting the cost of delivery of affordable </w:t>
      </w:r>
      <w:r w:rsidR="00896A3D" w:rsidRPr="00CA6930">
        <w:rPr>
          <w:rFonts w:ascii="Arial" w:hAnsi="Arial" w:cs="Arial"/>
          <w:sz w:val="22"/>
          <w:szCs w:val="22"/>
        </w:rPr>
        <w:t>homes</w:t>
      </w:r>
      <w:r w:rsidR="00C82CD2" w:rsidRPr="00CA6930">
        <w:rPr>
          <w:rFonts w:ascii="Arial" w:hAnsi="Arial" w:cs="Arial"/>
          <w:sz w:val="22"/>
          <w:szCs w:val="22"/>
        </w:rPr>
        <w:t xml:space="preserve"> </w:t>
      </w:r>
      <w:r w:rsidR="007A307F" w:rsidRPr="00CA6930">
        <w:rPr>
          <w:rFonts w:ascii="Arial" w:hAnsi="Arial" w:cs="Arial"/>
          <w:sz w:val="22"/>
          <w:szCs w:val="22"/>
        </w:rPr>
        <w:t>via an equity share in the property</w:t>
      </w:r>
      <w:r w:rsidR="00492A48" w:rsidRPr="00CA6930">
        <w:rPr>
          <w:rFonts w:ascii="Arial" w:hAnsi="Arial" w:cs="Arial"/>
          <w:sz w:val="22"/>
          <w:szCs w:val="22"/>
        </w:rPr>
        <w:t xml:space="preserve">. </w:t>
      </w:r>
      <w:r w:rsidR="00301E66" w:rsidRPr="00CA6930">
        <w:rPr>
          <w:rFonts w:ascii="Arial" w:hAnsi="Arial" w:cs="Arial"/>
          <w:sz w:val="22"/>
          <w:szCs w:val="22"/>
        </w:rPr>
        <w:t xml:space="preserve">The AHF funding is dependent on several </w:t>
      </w:r>
      <w:r w:rsidR="0037388E" w:rsidRPr="00CA6930">
        <w:rPr>
          <w:rFonts w:ascii="Arial" w:hAnsi="Arial" w:cs="Arial"/>
          <w:sz w:val="22"/>
          <w:szCs w:val="22"/>
        </w:rPr>
        <w:t>c</w:t>
      </w:r>
      <w:r w:rsidR="00301E66" w:rsidRPr="00CA6930">
        <w:rPr>
          <w:rFonts w:ascii="Arial" w:hAnsi="Arial" w:cs="Arial"/>
          <w:sz w:val="22"/>
          <w:szCs w:val="22"/>
        </w:rPr>
        <w:t xml:space="preserve">riteria and 3 funding limits. Please refer to the below table. </w:t>
      </w:r>
    </w:p>
    <w:p w14:paraId="79C226E2"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p>
    <w:p w14:paraId="285AAFC1" w14:textId="4437A63E"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5405AE">
        <w:rPr>
          <w:rFonts w:ascii="Arial" w:eastAsiaTheme="minorHAnsi" w:hAnsi="Arial" w:cs="Arial"/>
          <w:b/>
          <w:bCs/>
          <w:color w:val="000000"/>
          <w:sz w:val="22"/>
          <w:szCs w:val="22"/>
          <w:lang w:eastAsia="en-US"/>
        </w:rPr>
        <w:t>Funding Limit Categorisation</w:t>
      </w:r>
      <w:r w:rsidR="00F54B7F" w:rsidRPr="00CA6930">
        <w:rPr>
          <w:rStyle w:val="FootnoteReference"/>
          <w:rFonts w:ascii="Arial" w:eastAsiaTheme="minorHAnsi" w:hAnsi="Arial" w:cs="Arial"/>
          <w:color w:val="000000"/>
          <w:sz w:val="22"/>
          <w:szCs w:val="22"/>
          <w:lang w:eastAsia="en-US"/>
        </w:rPr>
        <w:footnoteReference w:id="2"/>
      </w:r>
      <w:r w:rsidRPr="00CA6930">
        <w:rPr>
          <w:rFonts w:ascii="Arial" w:eastAsiaTheme="minorHAnsi" w:hAnsi="Arial" w:cs="Arial"/>
          <w:color w:val="000000"/>
          <w:sz w:val="22"/>
          <w:szCs w:val="22"/>
          <w:lang w:eastAsia="en-US"/>
        </w:rPr>
        <w:t xml:space="preserve">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2"/>
        <w:gridCol w:w="2693"/>
      </w:tblGrid>
      <w:tr w:rsidR="0037388E" w:rsidRPr="00CA6930" w14:paraId="28D65C58" w14:textId="77777777" w:rsidTr="004744E8">
        <w:trPr>
          <w:trHeight w:val="103"/>
        </w:trPr>
        <w:tc>
          <w:tcPr>
            <w:tcW w:w="6482" w:type="dxa"/>
          </w:tcPr>
          <w:p w14:paraId="3A153822"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CA6930">
              <w:rPr>
                <w:rFonts w:ascii="Arial" w:eastAsiaTheme="minorHAnsi" w:hAnsi="Arial" w:cs="Arial"/>
                <w:b/>
                <w:bCs/>
                <w:color w:val="000000"/>
                <w:sz w:val="22"/>
                <w:szCs w:val="22"/>
                <w:lang w:eastAsia="en-US"/>
              </w:rPr>
              <w:t xml:space="preserve">Scheme density </w:t>
            </w:r>
          </w:p>
        </w:tc>
        <w:tc>
          <w:tcPr>
            <w:tcW w:w="2693" w:type="dxa"/>
          </w:tcPr>
          <w:p w14:paraId="5B1752F5"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CA6930">
              <w:rPr>
                <w:rFonts w:ascii="Arial" w:eastAsiaTheme="minorHAnsi" w:hAnsi="Arial" w:cs="Arial"/>
                <w:b/>
                <w:bCs/>
                <w:color w:val="000000"/>
                <w:sz w:val="22"/>
                <w:szCs w:val="22"/>
                <w:lang w:eastAsia="en-US"/>
              </w:rPr>
              <w:t xml:space="preserve">Funding limit </w:t>
            </w:r>
          </w:p>
        </w:tc>
      </w:tr>
      <w:tr w:rsidR="0037388E" w:rsidRPr="00CA6930" w14:paraId="5B5405DF" w14:textId="77777777" w:rsidTr="004744E8">
        <w:trPr>
          <w:trHeight w:val="403"/>
        </w:trPr>
        <w:tc>
          <w:tcPr>
            <w:tcW w:w="6482" w:type="dxa"/>
          </w:tcPr>
          <w:p w14:paraId="42A15F8E"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over 50 dwellings per hectare </w:t>
            </w:r>
            <w:r w:rsidRPr="00CA6930">
              <w:rPr>
                <w:rFonts w:ascii="Arial" w:eastAsiaTheme="minorHAnsi" w:hAnsi="Arial" w:cs="Arial"/>
                <w:color w:val="000000"/>
                <w:sz w:val="22"/>
                <w:szCs w:val="22"/>
                <w:lang w:eastAsia="en-US"/>
              </w:rPr>
              <w:t xml:space="preserve">in cities designated under the National Planning Framework </w:t>
            </w:r>
          </w:p>
        </w:tc>
        <w:tc>
          <w:tcPr>
            <w:tcW w:w="2693" w:type="dxa"/>
          </w:tcPr>
          <w:p w14:paraId="43DB9E48"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CA6930">
              <w:rPr>
                <w:rFonts w:ascii="Arial" w:eastAsiaTheme="minorHAnsi" w:hAnsi="Arial" w:cs="Arial"/>
                <w:color w:val="000000"/>
                <w:sz w:val="22"/>
                <w:szCs w:val="22"/>
                <w:lang w:eastAsia="en-US"/>
              </w:rPr>
              <w:t xml:space="preserve">€100,000 </w:t>
            </w:r>
          </w:p>
        </w:tc>
      </w:tr>
      <w:tr w:rsidR="0037388E" w:rsidRPr="00CA6930" w14:paraId="42686A6E" w14:textId="77777777" w:rsidTr="004744E8">
        <w:trPr>
          <w:trHeight w:val="253"/>
        </w:trPr>
        <w:tc>
          <w:tcPr>
            <w:tcW w:w="6482" w:type="dxa"/>
          </w:tcPr>
          <w:p w14:paraId="4172346C"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over 35 dwellings and under 50 dwellings per hectare </w:t>
            </w:r>
            <w:r w:rsidRPr="00CA6930">
              <w:rPr>
                <w:rFonts w:ascii="Arial" w:eastAsiaTheme="minorHAnsi" w:hAnsi="Arial" w:cs="Arial"/>
                <w:color w:val="000000"/>
                <w:sz w:val="22"/>
                <w:szCs w:val="22"/>
                <w:lang w:eastAsia="en-US"/>
              </w:rPr>
              <w:t xml:space="preserve">in all urban areas </w:t>
            </w:r>
          </w:p>
        </w:tc>
        <w:tc>
          <w:tcPr>
            <w:tcW w:w="2693" w:type="dxa"/>
          </w:tcPr>
          <w:p w14:paraId="5551E91A"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CA6930">
              <w:rPr>
                <w:rFonts w:ascii="Arial" w:eastAsiaTheme="minorHAnsi" w:hAnsi="Arial" w:cs="Arial"/>
                <w:color w:val="000000"/>
                <w:sz w:val="22"/>
                <w:szCs w:val="22"/>
                <w:lang w:eastAsia="en-US"/>
              </w:rPr>
              <w:t xml:space="preserve">€75,000 </w:t>
            </w:r>
          </w:p>
        </w:tc>
      </w:tr>
      <w:tr w:rsidR="0037388E" w:rsidRPr="00CA6930" w14:paraId="532CE9A7" w14:textId="77777777" w:rsidTr="004744E8">
        <w:trPr>
          <w:trHeight w:val="253"/>
        </w:trPr>
        <w:tc>
          <w:tcPr>
            <w:tcW w:w="6482" w:type="dxa"/>
          </w:tcPr>
          <w:p w14:paraId="3AC7CB96"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CA6930">
              <w:rPr>
                <w:rFonts w:ascii="Arial" w:eastAsiaTheme="minorHAnsi" w:hAnsi="Arial" w:cs="Arial"/>
                <w:color w:val="000000"/>
                <w:sz w:val="22"/>
                <w:szCs w:val="22"/>
                <w:lang w:eastAsia="en-US"/>
              </w:rPr>
              <w:t xml:space="preserve">Dwellings in schemes with a net density of </w:t>
            </w:r>
            <w:r w:rsidRPr="00CA6930">
              <w:rPr>
                <w:rFonts w:ascii="Arial" w:eastAsiaTheme="minorHAnsi" w:hAnsi="Arial" w:cs="Arial"/>
                <w:b/>
                <w:bCs/>
                <w:color w:val="000000"/>
                <w:sz w:val="22"/>
                <w:szCs w:val="22"/>
                <w:lang w:eastAsia="en-US"/>
              </w:rPr>
              <w:t xml:space="preserve">less than 35 dwellings per hectare </w:t>
            </w:r>
          </w:p>
        </w:tc>
        <w:tc>
          <w:tcPr>
            <w:tcW w:w="2693" w:type="dxa"/>
          </w:tcPr>
          <w:p w14:paraId="1DDA1A3A" w14:textId="77777777" w:rsidR="0037388E" w:rsidRPr="00CA6930" w:rsidRDefault="0037388E" w:rsidP="00CA6930">
            <w:pPr>
              <w:autoSpaceDE w:val="0"/>
              <w:autoSpaceDN w:val="0"/>
              <w:adjustRightInd w:val="0"/>
              <w:spacing w:line="276" w:lineRule="auto"/>
              <w:rPr>
                <w:rFonts w:ascii="Arial" w:eastAsiaTheme="minorHAnsi" w:hAnsi="Arial" w:cs="Arial"/>
                <w:color w:val="000000"/>
                <w:sz w:val="22"/>
                <w:szCs w:val="22"/>
                <w:lang w:eastAsia="en-US"/>
              </w:rPr>
            </w:pPr>
            <w:r w:rsidRPr="00CA6930">
              <w:rPr>
                <w:rFonts w:ascii="Arial" w:eastAsiaTheme="minorHAnsi" w:hAnsi="Arial" w:cs="Arial"/>
                <w:color w:val="000000"/>
                <w:sz w:val="22"/>
                <w:szCs w:val="22"/>
                <w:lang w:eastAsia="en-US"/>
              </w:rPr>
              <w:t xml:space="preserve">€50,000 </w:t>
            </w:r>
          </w:p>
        </w:tc>
      </w:tr>
    </w:tbl>
    <w:p w14:paraId="1BAA333F" w14:textId="77777777" w:rsidR="000A5658" w:rsidRPr="00CA6930" w:rsidRDefault="000A5658" w:rsidP="00CA6930">
      <w:pPr>
        <w:pStyle w:val="Default"/>
        <w:spacing w:line="276" w:lineRule="auto"/>
        <w:jc w:val="both"/>
        <w:rPr>
          <w:sz w:val="22"/>
          <w:szCs w:val="22"/>
        </w:rPr>
      </w:pPr>
    </w:p>
    <w:p w14:paraId="50FE963C" w14:textId="77777777" w:rsidR="005405AE" w:rsidRDefault="0060556E" w:rsidP="00CA6930">
      <w:pPr>
        <w:pStyle w:val="Default"/>
        <w:spacing w:line="276" w:lineRule="auto"/>
        <w:jc w:val="both"/>
        <w:rPr>
          <w:sz w:val="22"/>
          <w:szCs w:val="22"/>
        </w:rPr>
      </w:pPr>
      <w:r w:rsidRPr="00CA6930">
        <w:rPr>
          <w:sz w:val="22"/>
          <w:szCs w:val="22"/>
        </w:rPr>
        <w:lastRenderedPageBreak/>
        <w:t xml:space="preserve">The AHF funding must achieve a minimum </w:t>
      </w:r>
      <w:r w:rsidR="003F3CCC" w:rsidRPr="00CA6930">
        <w:rPr>
          <w:sz w:val="22"/>
          <w:szCs w:val="22"/>
        </w:rPr>
        <w:t>15% discount on open market values of comparable new build properties for affordable purchase</w:t>
      </w:r>
      <w:r w:rsidR="00B3731A" w:rsidRPr="00CA6930">
        <w:rPr>
          <w:sz w:val="22"/>
          <w:szCs w:val="22"/>
        </w:rPr>
        <w:t xml:space="preserve">, </w:t>
      </w:r>
      <w:r w:rsidR="00783D7C" w:rsidRPr="00CA6930">
        <w:rPr>
          <w:sz w:val="22"/>
          <w:szCs w:val="22"/>
        </w:rPr>
        <w:t xml:space="preserve">with the benefit of the applied for AHF funding </w:t>
      </w:r>
      <w:proofErr w:type="gramStart"/>
      <w:r w:rsidR="00783D7C" w:rsidRPr="00CA6930">
        <w:rPr>
          <w:sz w:val="22"/>
          <w:szCs w:val="22"/>
        </w:rPr>
        <w:t>taken into account</w:t>
      </w:r>
      <w:proofErr w:type="gramEnd"/>
      <w:r w:rsidR="00783D7C" w:rsidRPr="00CA6930">
        <w:rPr>
          <w:sz w:val="22"/>
          <w:szCs w:val="22"/>
        </w:rPr>
        <w:t>.</w:t>
      </w:r>
    </w:p>
    <w:p w14:paraId="6C075C0F" w14:textId="46D4138B" w:rsidR="00061989" w:rsidRPr="00CA6930" w:rsidRDefault="00783D7C" w:rsidP="00CA6930">
      <w:pPr>
        <w:pStyle w:val="Default"/>
        <w:spacing w:line="276" w:lineRule="auto"/>
        <w:jc w:val="both"/>
        <w:rPr>
          <w:sz w:val="22"/>
          <w:szCs w:val="22"/>
        </w:rPr>
      </w:pPr>
      <w:r w:rsidRPr="00CA6930">
        <w:rPr>
          <w:sz w:val="22"/>
          <w:szCs w:val="22"/>
        </w:rPr>
        <w:t xml:space="preserve"> </w:t>
      </w:r>
    </w:p>
    <w:p w14:paraId="6C3D02B2" w14:textId="7F889F06" w:rsidR="00445D6B" w:rsidRPr="00CA6930" w:rsidRDefault="00E91511" w:rsidP="00CA6930">
      <w:pPr>
        <w:pStyle w:val="Default"/>
        <w:spacing w:line="276" w:lineRule="auto"/>
        <w:jc w:val="both"/>
        <w:rPr>
          <w:sz w:val="22"/>
          <w:szCs w:val="22"/>
        </w:rPr>
      </w:pPr>
      <w:r w:rsidRPr="00CA6930">
        <w:rPr>
          <w:sz w:val="22"/>
          <w:szCs w:val="22"/>
        </w:rPr>
        <w:t xml:space="preserve">The calculation of the 15% discount </w:t>
      </w:r>
      <w:r w:rsidR="007F3823" w:rsidRPr="00CA6930">
        <w:rPr>
          <w:sz w:val="22"/>
          <w:szCs w:val="22"/>
        </w:rPr>
        <w:t>is set out in the below e</w:t>
      </w:r>
      <w:r w:rsidR="00445D6B" w:rsidRPr="00CA6930">
        <w:rPr>
          <w:sz w:val="22"/>
          <w:szCs w:val="22"/>
        </w:rPr>
        <w:t>xamples</w:t>
      </w:r>
      <w:r w:rsidR="00866FF6" w:rsidRPr="00CA6930">
        <w:rPr>
          <w:sz w:val="22"/>
          <w:szCs w:val="22"/>
        </w:rPr>
        <w:t xml:space="preserve">. </w:t>
      </w:r>
    </w:p>
    <w:p w14:paraId="1F2FD7FD" w14:textId="77777777" w:rsidR="00707AF0" w:rsidRPr="00CA6930" w:rsidRDefault="00707AF0" w:rsidP="00CA6930">
      <w:pPr>
        <w:pStyle w:val="Default"/>
        <w:spacing w:line="276" w:lineRule="auto"/>
        <w:jc w:val="both"/>
        <w:rPr>
          <w:sz w:val="22"/>
          <w:szCs w:val="22"/>
        </w:rPr>
      </w:pPr>
    </w:p>
    <w:p w14:paraId="2594C227" w14:textId="716CAFE8" w:rsidR="003A3F98" w:rsidRPr="005405AE" w:rsidRDefault="00F20603" w:rsidP="00CA6930">
      <w:pPr>
        <w:pStyle w:val="Default"/>
        <w:spacing w:line="276" w:lineRule="auto"/>
        <w:jc w:val="both"/>
        <w:rPr>
          <w:b/>
          <w:bCs/>
          <w:sz w:val="22"/>
          <w:szCs w:val="22"/>
        </w:rPr>
      </w:pPr>
      <w:r w:rsidRPr="005405AE">
        <w:rPr>
          <w:b/>
          <w:bCs/>
          <w:sz w:val="22"/>
          <w:szCs w:val="22"/>
        </w:rPr>
        <w:t xml:space="preserve">Example 1 </w:t>
      </w:r>
      <w:r w:rsidR="00C11EE5" w:rsidRPr="005405AE">
        <w:rPr>
          <w:b/>
          <w:bCs/>
          <w:sz w:val="22"/>
          <w:szCs w:val="22"/>
        </w:rPr>
        <w:tab/>
      </w:r>
    </w:p>
    <w:p w14:paraId="2795330D" w14:textId="0BA07427" w:rsidR="00F20603" w:rsidRPr="00CA6930" w:rsidRDefault="00C11EE5" w:rsidP="00CA6930">
      <w:pPr>
        <w:pStyle w:val="Default"/>
        <w:spacing w:line="276" w:lineRule="auto"/>
        <w:jc w:val="both"/>
        <w:rPr>
          <w:sz w:val="22"/>
          <w:szCs w:val="22"/>
        </w:rPr>
      </w:pPr>
      <w:r w:rsidRPr="00CA6930">
        <w:rPr>
          <w:sz w:val="22"/>
          <w:szCs w:val="22"/>
        </w:rPr>
        <w:t xml:space="preserve">Achieves </w:t>
      </w:r>
      <w:r w:rsidR="002E3F84" w:rsidRPr="00CA6930">
        <w:rPr>
          <w:sz w:val="22"/>
          <w:szCs w:val="22"/>
        </w:rPr>
        <w:t>minimum 15% discount is achieved on open market values of comparable new build properties</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842"/>
      </w:tblGrid>
      <w:tr w:rsidR="005549C5" w:rsidRPr="00CA6930" w14:paraId="783DD0E3" w14:textId="77777777" w:rsidTr="004744E8">
        <w:trPr>
          <w:trHeight w:val="290"/>
        </w:trPr>
        <w:tc>
          <w:tcPr>
            <w:tcW w:w="7245" w:type="dxa"/>
            <w:shd w:val="clear" w:color="auto" w:fill="auto"/>
            <w:noWrap/>
            <w:vAlign w:val="bottom"/>
            <w:hideMark/>
          </w:tcPr>
          <w:p w14:paraId="66B196F3" w14:textId="77777777" w:rsidR="00F20603" w:rsidRPr="00CA6930" w:rsidRDefault="00F20603" w:rsidP="00CA6930">
            <w:pPr>
              <w:spacing w:line="276" w:lineRule="auto"/>
              <w:rPr>
                <w:rFonts w:ascii="Arial" w:hAnsi="Arial" w:cs="Arial"/>
                <w:b/>
                <w:bCs/>
                <w:sz w:val="22"/>
                <w:szCs w:val="22"/>
              </w:rPr>
            </w:pPr>
            <w:r w:rsidRPr="00CA6930">
              <w:rPr>
                <w:rFonts w:ascii="Arial" w:hAnsi="Arial" w:cs="Arial"/>
                <w:b/>
                <w:bCs/>
                <w:sz w:val="22"/>
                <w:szCs w:val="22"/>
              </w:rPr>
              <w:t>Local Authority Affordable Housing</w:t>
            </w:r>
          </w:p>
        </w:tc>
        <w:tc>
          <w:tcPr>
            <w:tcW w:w="1842" w:type="dxa"/>
            <w:shd w:val="clear" w:color="auto" w:fill="auto"/>
            <w:vAlign w:val="bottom"/>
            <w:hideMark/>
          </w:tcPr>
          <w:p w14:paraId="45F8E389" w14:textId="77777777" w:rsidR="00F20603" w:rsidRPr="00CA6930" w:rsidRDefault="00F20603" w:rsidP="00CA6930">
            <w:pPr>
              <w:spacing w:line="276" w:lineRule="auto"/>
              <w:rPr>
                <w:rFonts w:ascii="Arial" w:hAnsi="Arial" w:cs="Arial"/>
                <w:sz w:val="22"/>
                <w:szCs w:val="22"/>
              </w:rPr>
            </w:pPr>
            <w:r w:rsidRPr="00CA6930">
              <w:rPr>
                <w:rFonts w:ascii="Arial" w:hAnsi="Arial" w:cs="Arial"/>
                <w:sz w:val="22"/>
                <w:szCs w:val="22"/>
              </w:rPr>
              <w:t> </w:t>
            </w:r>
          </w:p>
        </w:tc>
      </w:tr>
      <w:tr w:rsidR="005549C5" w:rsidRPr="00CA6930" w14:paraId="057EF1B6" w14:textId="77777777" w:rsidTr="004744E8">
        <w:trPr>
          <w:trHeight w:val="290"/>
        </w:trPr>
        <w:tc>
          <w:tcPr>
            <w:tcW w:w="7245" w:type="dxa"/>
            <w:shd w:val="clear" w:color="auto" w:fill="auto"/>
            <w:noWrap/>
            <w:vAlign w:val="bottom"/>
            <w:hideMark/>
          </w:tcPr>
          <w:p w14:paraId="768397A9" w14:textId="604E5472" w:rsidR="00F20603" w:rsidRPr="00CA6930" w:rsidRDefault="00F20603" w:rsidP="00CA6930">
            <w:pPr>
              <w:spacing w:line="276" w:lineRule="auto"/>
              <w:rPr>
                <w:rFonts w:ascii="Arial" w:hAnsi="Arial" w:cs="Arial"/>
                <w:sz w:val="22"/>
                <w:szCs w:val="22"/>
              </w:rPr>
            </w:pPr>
            <w:r w:rsidRPr="00CA6930">
              <w:rPr>
                <w:rFonts w:ascii="Arial" w:hAnsi="Arial" w:cs="Arial"/>
                <w:sz w:val="22"/>
                <w:szCs w:val="22"/>
              </w:rPr>
              <w:t>Cost of Provision</w:t>
            </w:r>
            <w:r w:rsidR="000B07F3" w:rsidRPr="00CA6930">
              <w:rPr>
                <w:rFonts w:ascii="Arial" w:hAnsi="Arial" w:cs="Arial"/>
                <w:sz w:val="22"/>
                <w:szCs w:val="22"/>
              </w:rPr>
              <w:t xml:space="preserve"> (all-in costs)</w:t>
            </w:r>
            <w:bookmarkStart w:id="4" w:name="_Ref88032561"/>
            <w:r w:rsidR="009946D9" w:rsidRPr="00CA6930">
              <w:rPr>
                <w:rStyle w:val="FootnoteReference"/>
                <w:rFonts w:ascii="Arial" w:hAnsi="Arial" w:cs="Arial"/>
                <w:sz w:val="22"/>
                <w:szCs w:val="22"/>
              </w:rPr>
              <w:footnoteReference w:id="3"/>
            </w:r>
            <w:bookmarkEnd w:id="4"/>
          </w:p>
        </w:tc>
        <w:tc>
          <w:tcPr>
            <w:tcW w:w="1842" w:type="dxa"/>
            <w:shd w:val="clear" w:color="auto" w:fill="auto"/>
            <w:noWrap/>
            <w:vAlign w:val="bottom"/>
            <w:hideMark/>
          </w:tcPr>
          <w:p w14:paraId="315E30B2" w14:textId="77777777" w:rsidR="00F20603" w:rsidRPr="00CA6930" w:rsidRDefault="00F20603" w:rsidP="00CA6930">
            <w:pPr>
              <w:spacing w:line="276" w:lineRule="auto"/>
              <w:jc w:val="right"/>
              <w:rPr>
                <w:rFonts w:ascii="Arial" w:hAnsi="Arial" w:cs="Arial"/>
                <w:sz w:val="22"/>
                <w:szCs w:val="22"/>
              </w:rPr>
            </w:pPr>
            <w:r w:rsidRPr="00CA6930">
              <w:rPr>
                <w:rFonts w:ascii="Arial" w:hAnsi="Arial" w:cs="Arial"/>
                <w:sz w:val="22"/>
                <w:szCs w:val="22"/>
              </w:rPr>
              <w:t xml:space="preserve">€220,000 </w:t>
            </w:r>
          </w:p>
        </w:tc>
      </w:tr>
      <w:tr w:rsidR="005549C5" w:rsidRPr="00CA6930" w14:paraId="077BC739" w14:textId="77777777" w:rsidTr="004744E8">
        <w:trPr>
          <w:trHeight w:val="290"/>
        </w:trPr>
        <w:tc>
          <w:tcPr>
            <w:tcW w:w="7245" w:type="dxa"/>
            <w:shd w:val="clear" w:color="auto" w:fill="auto"/>
            <w:noWrap/>
            <w:vAlign w:val="bottom"/>
            <w:hideMark/>
          </w:tcPr>
          <w:p w14:paraId="720B8CCF" w14:textId="202119C0" w:rsidR="00F20603" w:rsidRPr="00CA6930" w:rsidRDefault="000B07F3" w:rsidP="00CA6930">
            <w:pPr>
              <w:spacing w:line="276" w:lineRule="auto"/>
              <w:rPr>
                <w:rFonts w:ascii="Arial" w:hAnsi="Arial" w:cs="Arial"/>
                <w:sz w:val="22"/>
                <w:szCs w:val="22"/>
              </w:rPr>
            </w:pPr>
            <w:r w:rsidRPr="00CA6930">
              <w:rPr>
                <w:rFonts w:ascii="Arial" w:hAnsi="Arial" w:cs="Arial"/>
                <w:sz w:val="22"/>
                <w:szCs w:val="22"/>
              </w:rPr>
              <w:t>Affordable Housing Funding (AHF)</w:t>
            </w:r>
          </w:p>
        </w:tc>
        <w:tc>
          <w:tcPr>
            <w:tcW w:w="1842" w:type="dxa"/>
            <w:shd w:val="clear" w:color="auto" w:fill="auto"/>
            <w:noWrap/>
            <w:vAlign w:val="bottom"/>
            <w:hideMark/>
          </w:tcPr>
          <w:p w14:paraId="4025DC28" w14:textId="77777777" w:rsidR="00F20603" w:rsidRPr="00CA6930" w:rsidRDefault="00F20603" w:rsidP="00CA6930">
            <w:pPr>
              <w:spacing w:line="276" w:lineRule="auto"/>
              <w:jc w:val="right"/>
              <w:rPr>
                <w:rFonts w:ascii="Arial" w:hAnsi="Arial" w:cs="Arial"/>
                <w:sz w:val="22"/>
                <w:szCs w:val="22"/>
              </w:rPr>
            </w:pPr>
            <w:r w:rsidRPr="00CA6930">
              <w:rPr>
                <w:rFonts w:ascii="Arial" w:hAnsi="Arial" w:cs="Arial"/>
                <w:sz w:val="22"/>
                <w:szCs w:val="22"/>
              </w:rPr>
              <w:t xml:space="preserve">€50,000 </w:t>
            </w:r>
          </w:p>
        </w:tc>
      </w:tr>
      <w:tr w:rsidR="005549C5" w:rsidRPr="00CA6930" w14:paraId="78A33128" w14:textId="77777777" w:rsidTr="004744E8">
        <w:trPr>
          <w:trHeight w:val="290"/>
        </w:trPr>
        <w:tc>
          <w:tcPr>
            <w:tcW w:w="7245" w:type="dxa"/>
            <w:shd w:val="clear" w:color="auto" w:fill="auto"/>
            <w:noWrap/>
            <w:vAlign w:val="bottom"/>
            <w:hideMark/>
          </w:tcPr>
          <w:p w14:paraId="32967D45" w14:textId="602F9694" w:rsidR="00F20603" w:rsidRPr="00CA6930" w:rsidRDefault="00F20603" w:rsidP="00CA6930">
            <w:pPr>
              <w:spacing w:line="276" w:lineRule="auto"/>
              <w:rPr>
                <w:rFonts w:ascii="Arial" w:hAnsi="Arial" w:cs="Arial"/>
                <w:sz w:val="22"/>
                <w:szCs w:val="22"/>
              </w:rPr>
            </w:pPr>
            <w:r w:rsidRPr="00CA6930">
              <w:rPr>
                <w:rFonts w:ascii="Arial" w:hAnsi="Arial" w:cs="Arial"/>
                <w:sz w:val="22"/>
                <w:szCs w:val="22"/>
              </w:rPr>
              <w:t xml:space="preserve">Purchaser </w:t>
            </w:r>
            <w:r w:rsidR="00012B6B" w:rsidRPr="00CA6930">
              <w:rPr>
                <w:rFonts w:ascii="Arial" w:hAnsi="Arial" w:cs="Arial"/>
                <w:sz w:val="22"/>
                <w:szCs w:val="22"/>
              </w:rPr>
              <w:t xml:space="preserve">contribution </w:t>
            </w:r>
            <w:r w:rsidR="00A2092F" w:rsidRPr="00CA6930">
              <w:rPr>
                <w:rFonts w:ascii="Arial" w:hAnsi="Arial" w:cs="Arial"/>
                <w:sz w:val="22"/>
                <w:szCs w:val="22"/>
              </w:rPr>
              <w:t xml:space="preserve">(i.e. Mortgage and deposit) </w:t>
            </w:r>
          </w:p>
        </w:tc>
        <w:tc>
          <w:tcPr>
            <w:tcW w:w="1842" w:type="dxa"/>
            <w:shd w:val="clear" w:color="auto" w:fill="auto"/>
            <w:noWrap/>
            <w:vAlign w:val="bottom"/>
            <w:hideMark/>
          </w:tcPr>
          <w:p w14:paraId="5250964F" w14:textId="77777777" w:rsidR="00F20603" w:rsidRPr="00CA6930" w:rsidRDefault="00F20603" w:rsidP="00CA6930">
            <w:pPr>
              <w:spacing w:line="276" w:lineRule="auto"/>
              <w:jc w:val="right"/>
              <w:rPr>
                <w:rFonts w:ascii="Arial" w:hAnsi="Arial" w:cs="Arial"/>
                <w:sz w:val="22"/>
                <w:szCs w:val="22"/>
              </w:rPr>
            </w:pPr>
            <w:r w:rsidRPr="00CA6930">
              <w:rPr>
                <w:rFonts w:ascii="Arial" w:hAnsi="Arial" w:cs="Arial"/>
                <w:sz w:val="22"/>
                <w:szCs w:val="22"/>
              </w:rPr>
              <w:t xml:space="preserve">€170,000 </w:t>
            </w:r>
          </w:p>
        </w:tc>
      </w:tr>
      <w:tr w:rsidR="005549C5" w:rsidRPr="00CA6930" w14:paraId="74E8CB43" w14:textId="77777777" w:rsidTr="004744E8">
        <w:trPr>
          <w:trHeight w:val="290"/>
        </w:trPr>
        <w:tc>
          <w:tcPr>
            <w:tcW w:w="7245" w:type="dxa"/>
            <w:shd w:val="clear" w:color="auto" w:fill="auto"/>
            <w:noWrap/>
            <w:vAlign w:val="bottom"/>
            <w:hideMark/>
          </w:tcPr>
          <w:p w14:paraId="27A1D148" w14:textId="30E58BD4" w:rsidR="00F20603" w:rsidRPr="00CA6930" w:rsidRDefault="000B07F3" w:rsidP="00CA6930">
            <w:pPr>
              <w:spacing w:line="276" w:lineRule="auto"/>
              <w:rPr>
                <w:rFonts w:ascii="Arial" w:hAnsi="Arial" w:cs="Arial"/>
                <w:sz w:val="22"/>
                <w:szCs w:val="22"/>
              </w:rPr>
            </w:pPr>
            <w:r w:rsidRPr="00CA6930">
              <w:rPr>
                <w:rFonts w:ascii="Arial" w:hAnsi="Arial" w:cs="Arial"/>
                <w:sz w:val="22"/>
                <w:szCs w:val="22"/>
              </w:rPr>
              <w:t>Open market values of comparable new build</w:t>
            </w:r>
          </w:p>
        </w:tc>
        <w:tc>
          <w:tcPr>
            <w:tcW w:w="1842" w:type="dxa"/>
            <w:shd w:val="clear" w:color="auto" w:fill="auto"/>
            <w:noWrap/>
            <w:vAlign w:val="bottom"/>
            <w:hideMark/>
          </w:tcPr>
          <w:p w14:paraId="05E6737A" w14:textId="77777777" w:rsidR="00F20603" w:rsidRPr="00CA6930" w:rsidRDefault="00F20603" w:rsidP="00CA6930">
            <w:pPr>
              <w:spacing w:line="276" w:lineRule="auto"/>
              <w:jc w:val="right"/>
              <w:rPr>
                <w:rFonts w:ascii="Arial" w:hAnsi="Arial" w:cs="Arial"/>
                <w:sz w:val="22"/>
                <w:szCs w:val="22"/>
              </w:rPr>
            </w:pPr>
            <w:r w:rsidRPr="00CA6930">
              <w:rPr>
                <w:rFonts w:ascii="Arial" w:hAnsi="Arial" w:cs="Arial"/>
                <w:sz w:val="22"/>
                <w:szCs w:val="22"/>
              </w:rPr>
              <w:t xml:space="preserve">€200,000 </w:t>
            </w:r>
          </w:p>
        </w:tc>
      </w:tr>
      <w:tr w:rsidR="005549C5" w:rsidRPr="00CA6930" w14:paraId="09BEB05F" w14:textId="77777777" w:rsidTr="004744E8">
        <w:trPr>
          <w:trHeight w:val="290"/>
        </w:trPr>
        <w:tc>
          <w:tcPr>
            <w:tcW w:w="7245" w:type="dxa"/>
            <w:shd w:val="clear" w:color="auto" w:fill="auto"/>
            <w:noWrap/>
            <w:vAlign w:val="bottom"/>
            <w:hideMark/>
          </w:tcPr>
          <w:p w14:paraId="21CAAF2B" w14:textId="71321CE1" w:rsidR="00F20603" w:rsidRPr="00CA6930" w:rsidRDefault="00F06693" w:rsidP="00CA6930">
            <w:pPr>
              <w:spacing w:line="276" w:lineRule="auto"/>
              <w:rPr>
                <w:rFonts w:ascii="Arial" w:hAnsi="Arial" w:cs="Arial"/>
                <w:sz w:val="22"/>
                <w:szCs w:val="22"/>
              </w:rPr>
            </w:pPr>
            <w:r w:rsidRPr="00CA6930">
              <w:rPr>
                <w:rFonts w:ascii="Arial" w:hAnsi="Arial" w:cs="Arial"/>
                <w:sz w:val="22"/>
                <w:szCs w:val="22"/>
              </w:rPr>
              <w:t xml:space="preserve">Discount </w:t>
            </w:r>
            <w:r w:rsidR="00F20603" w:rsidRPr="00CA6930">
              <w:rPr>
                <w:rFonts w:ascii="Arial" w:hAnsi="Arial" w:cs="Arial"/>
                <w:b/>
                <w:bCs/>
                <w:sz w:val="22"/>
                <w:szCs w:val="22"/>
              </w:rPr>
              <w:t>15.00%</w:t>
            </w:r>
          </w:p>
        </w:tc>
        <w:tc>
          <w:tcPr>
            <w:tcW w:w="1842" w:type="dxa"/>
            <w:shd w:val="clear" w:color="auto" w:fill="auto"/>
            <w:noWrap/>
            <w:vAlign w:val="bottom"/>
            <w:hideMark/>
          </w:tcPr>
          <w:p w14:paraId="77AED8C3" w14:textId="77777777" w:rsidR="00F20603" w:rsidRPr="00CA6930" w:rsidRDefault="00F20603" w:rsidP="00CA6930">
            <w:pPr>
              <w:spacing w:line="276" w:lineRule="auto"/>
              <w:jc w:val="right"/>
              <w:rPr>
                <w:rFonts w:ascii="Arial" w:hAnsi="Arial" w:cs="Arial"/>
                <w:sz w:val="22"/>
                <w:szCs w:val="22"/>
              </w:rPr>
            </w:pPr>
            <w:r w:rsidRPr="00CA6930">
              <w:rPr>
                <w:rFonts w:ascii="Arial" w:hAnsi="Arial" w:cs="Arial"/>
                <w:sz w:val="22"/>
                <w:szCs w:val="22"/>
              </w:rPr>
              <w:t xml:space="preserve">€30,000 </w:t>
            </w:r>
          </w:p>
        </w:tc>
      </w:tr>
    </w:tbl>
    <w:p w14:paraId="62CB680A" w14:textId="07DF31B3" w:rsidR="00E12AF5" w:rsidRDefault="00E12AF5" w:rsidP="00CA6930">
      <w:pPr>
        <w:pStyle w:val="Default"/>
        <w:spacing w:line="276" w:lineRule="auto"/>
        <w:jc w:val="both"/>
        <w:rPr>
          <w:sz w:val="22"/>
          <w:szCs w:val="22"/>
        </w:rPr>
      </w:pPr>
    </w:p>
    <w:p w14:paraId="188247AB" w14:textId="77777777" w:rsidR="005405AE" w:rsidRPr="00CA6930" w:rsidRDefault="005405AE" w:rsidP="00CA6930">
      <w:pPr>
        <w:pStyle w:val="Default"/>
        <w:spacing w:line="276" w:lineRule="auto"/>
        <w:jc w:val="both"/>
        <w:rPr>
          <w:sz w:val="22"/>
          <w:szCs w:val="22"/>
        </w:rPr>
      </w:pPr>
    </w:p>
    <w:p w14:paraId="2DB60F18" w14:textId="2A8ACDEA" w:rsidR="00251B6A" w:rsidRPr="005405AE" w:rsidRDefault="00251B6A" w:rsidP="00CA6930">
      <w:pPr>
        <w:pStyle w:val="Default"/>
        <w:spacing w:line="276" w:lineRule="auto"/>
        <w:jc w:val="both"/>
        <w:rPr>
          <w:b/>
          <w:bCs/>
          <w:sz w:val="22"/>
          <w:szCs w:val="22"/>
        </w:rPr>
      </w:pPr>
      <w:r w:rsidRPr="005405AE">
        <w:rPr>
          <w:b/>
          <w:bCs/>
          <w:sz w:val="22"/>
          <w:szCs w:val="22"/>
        </w:rPr>
        <w:t xml:space="preserve">Example 2 </w:t>
      </w:r>
      <w:r w:rsidRPr="005405AE">
        <w:rPr>
          <w:b/>
          <w:bCs/>
          <w:sz w:val="22"/>
          <w:szCs w:val="22"/>
        </w:rPr>
        <w:tab/>
      </w:r>
    </w:p>
    <w:p w14:paraId="3C6DD646" w14:textId="77777777" w:rsidR="00251B6A" w:rsidRPr="00CA6930" w:rsidRDefault="00251B6A" w:rsidP="00CA6930">
      <w:pPr>
        <w:pStyle w:val="Default"/>
        <w:spacing w:line="276" w:lineRule="auto"/>
        <w:jc w:val="both"/>
        <w:rPr>
          <w:sz w:val="22"/>
          <w:szCs w:val="22"/>
        </w:rPr>
      </w:pPr>
      <w:r w:rsidRPr="00CA6930">
        <w:rPr>
          <w:sz w:val="22"/>
          <w:szCs w:val="22"/>
        </w:rPr>
        <w:t>Achieves minimum 15% discount is achieved on open market values of comparable new build properties</w:t>
      </w:r>
    </w:p>
    <w:tbl>
      <w:tblPr>
        <w:tblW w:w="908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842"/>
      </w:tblGrid>
      <w:tr w:rsidR="002F4E85" w:rsidRPr="00CA6930" w14:paraId="0634F1CE" w14:textId="77777777" w:rsidTr="004744E8">
        <w:trPr>
          <w:trHeight w:val="290"/>
        </w:trPr>
        <w:tc>
          <w:tcPr>
            <w:tcW w:w="7245" w:type="dxa"/>
            <w:shd w:val="clear" w:color="auto" w:fill="auto"/>
            <w:noWrap/>
            <w:vAlign w:val="bottom"/>
            <w:hideMark/>
          </w:tcPr>
          <w:p w14:paraId="5CC20B01" w14:textId="7C1B3EF3" w:rsidR="002F4E85" w:rsidRPr="00CA6930" w:rsidRDefault="002F4E85" w:rsidP="00CA6930">
            <w:pPr>
              <w:spacing w:line="276" w:lineRule="auto"/>
              <w:rPr>
                <w:rFonts w:ascii="Arial" w:hAnsi="Arial" w:cs="Arial"/>
                <w:b/>
                <w:bCs/>
                <w:color w:val="000000"/>
                <w:sz w:val="22"/>
                <w:szCs w:val="22"/>
              </w:rPr>
            </w:pPr>
            <w:r w:rsidRPr="00CA6930">
              <w:rPr>
                <w:rFonts w:ascii="Arial" w:hAnsi="Arial" w:cs="Arial"/>
                <w:b/>
                <w:bCs/>
                <w:sz w:val="22"/>
                <w:szCs w:val="22"/>
              </w:rPr>
              <w:t>Local Authority Affordable Housing</w:t>
            </w:r>
          </w:p>
        </w:tc>
        <w:tc>
          <w:tcPr>
            <w:tcW w:w="1842" w:type="dxa"/>
            <w:shd w:val="clear" w:color="auto" w:fill="auto"/>
            <w:vAlign w:val="bottom"/>
            <w:hideMark/>
          </w:tcPr>
          <w:p w14:paraId="1B2CFB75" w14:textId="77777777" w:rsidR="002F4E85" w:rsidRPr="00CA6930" w:rsidRDefault="002F4E85" w:rsidP="00CA6930">
            <w:pPr>
              <w:spacing w:line="276" w:lineRule="auto"/>
              <w:rPr>
                <w:rFonts w:ascii="Arial" w:hAnsi="Arial" w:cs="Arial"/>
                <w:color w:val="000000"/>
                <w:sz w:val="22"/>
                <w:szCs w:val="22"/>
              </w:rPr>
            </w:pPr>
            <w:r w:rsidRPr="00CA6930">
              <w:rPr>
                <w:rFonts w:ascii="Arial" w:hAnsi="Arial" w:cs="Arial"/>
                <w:color w:val="000000"/>
                <w:sz w:val="22"/>
                <w:szCs w:val="22"/>
              </w:rPr>
              <w:t> </w:t>
            </w:r>
          </w:p>
        </w:tc>
      </w:tr>
      <w:tr w:rsidR="002F4E85" w:rsidRPr="00CA6930" w14:paraId="45DBCC4F" w14:textId="77777777" w:rsidTr="004744E8">
        <w:trPr>
          <w:trHeight w:val="290"/>
        </w:trPr>
        <w:tc>
          <w:tcPr>
            <w:tcW w:w="7245" w:type="dxa"/>
            <w:shd w:val="clear" w:color="auto" w:fill="auto"/>
            <w:noWrap/>
            <w:vAlign w:val="bottom"/>
            <w:hideMark/>
          </w:tcPr>
          <w:p w14:paraId="469DA22B" w14:textId="20E4582A" w:rsidR="002F4E85" w:rsidRPr="00CA6930" w:rsidRDefault="002F4E85" w:rsidP="00CA6930">
            <w:pPr>
              <w:spacing w:line="276" w:lineRule="auto"/>
              <w:rPr>
                <w:rFonts w:ascii="Arial" w:hAnsi="Arial" w:cs="Arial"/>
                <w:color w:val="000000"/>
                <w:sz w:val="22"/>
                <w:szCs w:val="22"/>
              </w:rPr>
            </w:pPr>
            <w:r w:rsidRPr="00CA6930">
              <w:rPr>
                <w:rFonts w:ascii="Arial" w:hAnsi="Arial" w:cs="Arial"/>
                <w:sz w:val="22"/>
                <w:szCs w:val="22"/>
              </w:rPr>
              <w:t>Cost of Provision (all-in costs)</w:t>
            </w:r>
            <w:r w:rsidR="00585C9C" w:rsidRPr="00CA6930">
              <w:rPr>
                <w:rFonts w:ascii="Arial" w:hAnsi="Arial" w:cs="Arial"/>
                <w:sz w:val="22"/>
                <w:szCs w:val="22"/>
                <w:vertAlign w:val="superscript"/>
              </w:rPr>
              <w:fldChar w:fldCharType="begin"/>
            </w:r>
            <w:r w:rsidR="00585C9C" w:rsidRPr="00CA6930">
              <w:rPr>
                <w:rFonts w:ascii="Arial" w:hAnsi="Arial" w:cs="Arial"/>
                <w:sz w:val="22"/>
                <w:szCs w:val="22"/>
                <w:vertAlign w:val="superscript"/>
              </w:rPr>
              <w:instrText xml:space="preserve"> NOTEREF _Ref88032561 \h </w:instrText>
            </w:r>
            <w:r w:rsidR="00061989" w:rsidRPr="00CA6930">
              <w:rPr>
                <w:rFonts w:ascii="Arial" w:hAnsi="Arial" w:cs="Arial"/>
                <w:sz w:val="22"/>
                <w:szCs w:val="22"/>
                <w:vertAlign w:val="superscript"/>
              </w:rPr>
              <w:instrText xml:space="preserve"> \* MERGEFORMAT </w:instrText>
            </w:r>
            <w:r w:rsidR="00585C9C" w:rsidRPr="00CA6930">
              <w:rPr>
                <w:rFonts w:ascii="Arial" w:hAnsi="Arial" w:cs="Arial"/>
                <w:sz w:val="22"/>
                <w:szCs w:val="22"/>
                <w:vertAlign w:val="superscript"/>
              </w:rPr>
            </w:r>
            <w:r w:rsidR="00585C9C" w:rsidRPr="00CA6930">
              <w:rPr>
                <w:rFonts w:ascii="Arial" w:hAnsi="Arial" w:cs="Arial"/>
                <w:sz w:val="22"/>
                <w:szCs w:val="22"/>
                <w:vertAlign w:val="superscript"/>
              </w:rPr>
              <w:fldChar w:fldCharType="separate"/>
            </w:r>
            <w:r w:rsidR="00585C9C" w:rsidRPr="00CA6930">
              <w:rPr>
                <w:rFonts w:ascii="Arial" w:hAnsi="Arial" w:cs="Arial"/>
                <w:sz w:val="22"/>
                <w:szCs w:val="22"/>
                <w:vertAlign w:val="superscript"/>
              </w:rPr>
              <w:t>2</w:t>
            </w:r>
            <w:r w:rsidR="00585C9C" w:rsidRPr="00CA6930">
              <w:rPr>
                <w:rFonts w:ascii="Arial" w:hAnsi="Arial" w:cs="Arial"/>
                <w:sz w:val="22"/>
                <w:szCs w:val="22"/>
                <w:vertAlign w:val="superscript"/>
              </w:rPr>
              <w:fldChar w:fldCharType="end"/>
            </w:r>
          </w:p>
        </w:tc>
        <w:tc>
          <w:tcPr>
            <w:tcW w:w="1842" w:type="dxa"/>
            <w:shd w:val="clear" w:color="auto" w:fill="auto"/>
            <w:noWrap/>
            <w:vAlign w:val="bottom"/>
            <w:hideMark/>
          </w:tcPr>
          <w:p w14:paraId="28632D7B" w14:textId="77777777" w:rsidR="002F4E85" w:rsidRPr="00CA6930" w:rsidRDefault="002F4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€400,000 </w:t>
            </w:r>
          </w:p>
        </w:tc>
      </w:tr>
      <w:tr w:rsidR="002F4E85" w:rsidRPr="00CA6930" w14:paraId="3759B24D" w14:textId="77777777" w:rsidTr="004744E8">
        <w:trPr>
          <w:trHeight w:val="290"/>
        </w:trPr>
        <w:tc>
          <w:tcPr>
            <w:tcW w:w="7245" w:type="dxa"/>
            <w:shd w:val="clear" w:color="auto" w:fill="auto"/>
            <w:noWrap/>
            <w:vAlign w:val="bottom"/>
            <w:hideMark/>
          </w:tcPr>
          <w:p w14:paraId="16CD56D3" w14:textId="7DEF48F5" w:rsidR="002F4E85" w:rsidRPr="00CA6930" w:rsidRDefault="002F4E85" w:rsidP="00CA6930">
            <w:pPr>
              <w:spacing w:line="276" w:lineRule="auto"/>
              <w:rPr>
                <w:rFonts w:ascii="Arial" w:hAnsi="Arial" w:cs="Arial"/>
                <w:color w:val="000000"/>
                <w:sz w:val="22"/>
                <w:szCs w:val="22"/>
              </w:rPr>
            </w:pPr>
            <w:r w:rsidRPr="00CA6930">
              <w:rPr>
                <w:rFonts w:ascii="Arial" w:hAnsi="Arial" w:cs="Arial"/>
                <w:sz w:val="22"/>
                <w:szCs w:val="22"/>
              </w:rPr>
              <w:t>Affordable Housing Funding (AHF)</w:t>
            </w:r>
          </w:p>
        </w:tc>
        <w:tc>
          <w:tcPr>
            <w:tcW w:w="1842" w:type="dxa"/>
            <w:shd w:val="clear" w:color="auto" w:fill="auto"/>
            <w:noWrap/>
            <w:vAlign w:val="bottom"/>
            <w:hideMark/>
          </w:tcPr>
          <w:p w14:paraId="5E88AC99" w14:textId="77777777" w:rsidR="002F4E85" w:rsidRPr="00CA6930" w:rsidRDefault="002F4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€75,000 </w:t>
            </w:r>
          </w:p>
        </w:tc>
      </w:tr>
      <w:tr w:rsidR="002F4E85" w:rsidRPr="00CA6930" w14:paraId="6444CB4F" w14:textId="77777777" w:rsidTr="004744E8">
        <w:trPr>
          <w:trHeight w:val="290"/>
        </w:trPr>
        <w:tc>
          <w:tcPr>
            <w:tcW w:w="7245" w:type="dxa"/>
            <w:shd w:val="clear" w:color="auto" w:fill="auto"/>
            <w:noWrap/>
            <w:vAlign w:val="bottom"/>
            <w:hideMark/>
          </w:tcPr>
          <w:p w14:paraId="3F9A423D" w14:textId="0B76BBA5" w:rsidR="002F4E85" w:rsidRPr="00CA6930" w:rsidRDefault="002F4E85" w:rsidP="00CA6930">
            <w:pPr>
              <w:spacing w:line="276" w:lineRule="auto"/>
              <w:rPr>
                <w:rFonts w:ascii="Arial" w:hAnsi="Arial" w:cs="Arial"/>
                <w:color w:val="000000"/>
                <w:sz w:val="22"/>
                <w:szCs w:val="22"/>
              </w:rPr>
            </w:pPr>
            <w:r w:rsidRPr="00CA6930">
              <w:rPr>
                <w:rFonts w:ascii="Arial" w:hAnsi="Arial" w:cs="Arial"/>
                <w:sz w:val="22"/>
                <w:szCs w:val="22"/>
              </w:rPr>
              <w:t xml:space="preserve">Purchaser </w:t>
            </w:r>
            <w:r w:rsidR="00012B6B" w:rsidRPr="00CA6930">
              <w:rPr>
                <w:rFonts w:ascii="Arial" w:hAnsi="Arial" w:cs="Arial"/>
                <w:sz w:val="22"/>
                <w:szCs w:val="22"/>
              </w:rPr>
              <w:t>contribution</w:t>
            </w:r>
          </w:p>
        </w:tc>
        <w:tc>
          <w:tcPr>
            <w:tcW w:w="1842" w:type="dxa"/>
            <w:shd w:val="clear" w:color="auto" w:fill="auto"/>
            <w:noWrap/>
            <w:vAlign w:val="bottom"/>
            <w:hideMark/>
          </w:tcPr>
          <w:p w14:paraId="1BEBE14C" w14:textId="77777777" w:rsidR="002F4E85" w:rsidRPr="00CA6930" w:rsidRDefault="002F4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€325,000 </w:t>
            </w:r>
          </w:p>
        </w:tc>
      </w:tr>
      <w:tr w:rsidR="002F4E85" w:rsidRPr="00CA6930" w14:paraId="6FA0DBCE" w14:textId="77777777" w:rsidTr="004744E8">
        <w:trPr>
          <w:trHeight w:val="290"/>
        </w:trPr>
        <w:tc>
          <w:tcPr>
            <w:tcW w:w="7245" w:type="dxa"/>
            <w:shd w:val="clear" w:color="auto" w:fill="auto"/>
            <w:noWrap/>
            <w:vAlign w:val="bottom"/>
            <w:hideMark/>
          </w:tcPr>
          <w:p w14:paraId="7ADAF000" w14:textId="0C1EEB6B" w:rsidR="002F4E85" w:rsidRPr="00CA6930" w:rsidRDefault="002F4E85" w:rsidP="00CA6930">
            <w:pPr>
              <w:spacing w:line="276" w:lineRule="auto"/>
              <w:rPr>
                <w:rFonts w:ascii="Arial" w:hAnsi="Arial" w:cs="Arial"/>
                <w:color w:val="000000"/>
                <w:sz w:val="22"/>
                <w:szCs w:val="22"/>
              </w:rPr>
            </w:pPr>
            <w:r w:rsidRPr="00CA6930">
              <w:rPr>
                <w:rFonts w:ascii="Arial" w:hAnsi="Arial" w:cs="Arial"/>
                <w:sz w:val="22"/>
                <w:szCs w:val="22"/>
              </w:rPr>
              <w:t>Open market values of comparable new build</w:t>
            </w:r>
          </w:p>
        </w:tc>
        <w:tc>
          <w:tcPr>
            <w:tcW w:w="1842" w:type="dxa"/>
            <w:shd w:val="clear" w:color="auto" w:fill="auto"/>
            <w:noWrap/>
            <w:vAlign w:val="bottom"/>
            <w:hideMark/>
          </w:tcPr>
          <w:p w14:paraId="3C36262A" w14:textId="77777777" w:rsidR="002F4E85" w:rsidRPr="00CA6930" w:rsidRDefault="002F4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€410,000 </w:t>
            </w:r>
          </w:p>
        </w:tc>
      </w:tr>
      <w:tr w:rsidR="006E4815" w:rsidRPr="00CA6930" w14:paraId="0A158F6F" w14:textId="77777777" w:rsidTr="004744E8">
        <w:trPr>
          <w:trHeight w:val="290"/>
        </w:trPr>
        <w:tc>
          <w:tcPr>
            <w:tcW w:w="7245" w:type="dxa"/>
            <w:shd w:val="clear" w:color="auto" w:fill="auto"/>
            <w:noWrap/>
            <w:vAlign w:val="bottom"/>
            <w:hideMark/>
          </w:tcPr>
          <w:p w14:paraId="5FEA3C39" w14:textId="2A0A4C52" w:rsidR="00251B6A" w:rsidRPr="00CA6930" w:rsidRDefault="00F06693" w:rsidP="00CA6930">
            <w:pPr>
              <w:spacing w:line="276" w:lineRule="auto"/>
              <w:rPr>
                <w:rFonts w:ascii="Arial" w:hAnsi="Arial" w:cs="Arial"/>
                <w:color w:val="000000"/>
                <w:sz w:val="22"/>
                <w:szCs w:val="22"/>
              </w:rPr>
            </w:pPr>
            <w:r w:rsidRPr="00CA6930">
              <w:rPr>
                <w:rFonts w:ascii="Arial" w:hAnsi="Arial" w:cs="Arial"/>
                <w:sz w:val="22"/>
                <w:szCs w:val="22"/>
              </w:rPr>
              <w:t>Discount</w:t>
            </w:r>
            <w:r w:rsidR="00251B6A" w:rsidRPr="00CA6930">
              <w:rPr>
                <w:rFonts w:ascii="Arial" w:hAnsi="Arial" w:cs="Arial"/>
                <w:color w:val="000000"/>
                <w:sz w:val="22"/>
                <w:szCs w:val="22"/>
              </w:rPr>
              <w:t xml:space="preserve">: </w:t>
            </w:r>
            <w:r w:rsidR="00251B6A" w:rsidRPr="00CA6930">
              <w:rPr>
                <w:rFonts w:ascii="Arial" w:hAnsi="Arial" w:cs="Arial"/>
                <w:b/>
                <w:bCs/>
                <w:color w:val="000000"/>
                <w:sz w:val="22"/>
                <w:szCs w:val="22"/>
              </w:rPr>
              <w:t>20.73%</w:t>
            </w:r>
          </w:p>
        </w:tc>
        <w:tc>
          <w:tcPr>
            <w:tcW w:w="1842" w:type="dxa"/>
            <w:shd w:val="clear" w:color="auto" w:fill="auto"/>
            <w:noWrap/>
            <w:vAlign w:val="bottom"/>
            <w:hideMark/>
          </w:tcPr>
          <w:p w14:paraId="38153B56" w14:textId="77777777" w:rsidR="00251B6A" w:rsidRPr="00CA6930" w:rsidRDefault="00251B6A"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€85,000 </w:t>
            </w:r>
          </w:p>
        </w:tc>
      </w:tr>
    </w:tbl>
    <w:p w14:paraId="4179CEDF" w14:textId="368A2333" w:rsidR="00AB6A7D" w:rsidRPr="00CA6930" w:rsidRDefault="00AB6A7D" w:rsidP="00CA6930">
      <w:pPr>
        <w:pStyle w:val="Default"/>
        <w:spacing w:line="276" w:lineRule="auto"/>
        <w:jc w:val="both"/>
        <w:rPr>
          <w:sz w:val="22"/>
          <w:szCs w:val="22"/>
        </w:rPr>
      </w:pPr>
    </w:p>
    <w:p w14:paraId="6C7524CE" w14:textId="77777777" w:rsidR="00AB6A7D" w:rsidRPr="005405AE" w:rsidRDefault="00AB6A7D" w:rsidP="00CA6930">
      <w:pPr>
        <w:pStyle w:val="Default"/>
        <w:spacing w:line="276" w:lineRule="auto"/>
        <w:jc w:val="both"/>
        <w:rPr>
          <w:b/>
          <w:bCs/>
          <w:sz w:val="22"/>
          <w:szCs w:val="22"/>
        </w:rPr>
      </w:pPr>
    </w:p>
    <w:p w14:paraId="4C3AECEF" w14:textId="681EB61C" w:rsidR="003A3F98" w:rsidRPr="00CA6930" w:rsidRDefault="002B1E85" w:rsidP="00CA6930">
      <w:pPr>
        <w:pStyle w:val="Default"/>
        <w:spacing w:line="276" w:lineRule="auto"/>
        <w:jc w:val="both"/>
        <w:rPr>
          <w:sz w:val="22"/>
          <w:szCs w:val="22"/>
        </w:rPr>
      </w:pPr>
      <w:bookmarkStart w:id="5" w:name="_Toc86343279"/>
      <w:r w:rsidRPr="005405AE">
        <w:rPr>
          <w:b/>
          <w:bCs/>
          <w:sz w:val="22"/>
          <w:szCs w:val="22"/>
        </w:rPr>
        <w:t xml:space="preserve">Example </w:t>
      </w:r>
      <w:r w:rsidR="00251B6A" w:rsidRPr="005405AE">
        <w:rPr>
          <w:b/>
          <w:bCs/>
          <w:sz w:val="22"/>
          <w:szCs w:val="22"/>
        </w:rPr>
        <w:t>3</w:t>
      </w:r>
      <w:r w:rsidRPr="00CA6930">
        <w:rPr>
          <w:sz w:val="22"/>
          <w:szCs w:val="22"/>
        </w:rPr>
        <w:t xml:space="preserve"> </w:t>
      </w:r>
      <w:r w:rsidRPr="00CA6930">
        <w:rPr>
          <w:sz w:val="22"/>
          <w:szCs w:val="22"/>
        </w:rPr>
        <w:tab/>
      </w:r>
    </w:p>
    <w:p w14:paraId="5ADBD773" w14:textId="76DB0AD1" w:rsidR="002B1E85" w:rsidRPr="00CA6930" w:rsidRDefault="002B1E85" w:rsidP="00CA6930">
      <w:pPr>
        <w:pStyle w:val="Default"/>
        <w:spacing w:line="276" w:lineRule="auto"/>
        <w:jc w:val="both"/>
        <w:rPr>
          <w:sz w:val="22"/>
          <w:szCs w:val="22"/>
        </w:rPr>
      </w:pPr>
      <w:r w:rsidRPr="00CA6930">
        <w:rPr>
          <w:sz w:val="22"/>
          <w:szCs w:val="22"/>
        </w:rPr>
        <w:t>Does not achieve minimum 15% discount is achieved on open market values of comparable new build properties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5"/>
        <w:gridCol w:w="1842"/>
      </w:tblGrid>
      <w:tr w:rsidR="002F4E85" w:rsidRPr="00CA6930" w14:paraId="027EC0D3"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1986259C" w14:textId="32A3572C" w:rsidR="002F4E85" w:rsidRPr="00CA6930" w:rsidRDefault="002F4E85" w:rsidP="00CA6930">
            <w:pPr>
              <w:spacing w:line="276" w:lineRule="auto"/>
              <w:rPr>
                <w:rFonts w:ascii="Arial" w:hAnsi="Arial" w:cs="Arial"/>
                <w:b/>
                <w:bCs/>
                <w:color w:val="000000"/>
                <w:sz w:val="22"/>
                <w:szCs w:val="22"/>
              </w:rPr>
            </w:pPr>
            <w:r w:rsidRPr="00CA6930">
              <w:rPr>
                <w:rFonts w:ascii="Arial" w:hAnsi="Arial" w:cs="Arial"/>
                <w:b/>
                <w:bCs/>
                <w:sz w:val="22"/>
                <w:szCs w:val="22"/>
              </w:rPr>
              <w:t>Local Authority Affordable Housing</w:t>
            </w:r>
          </w:p>
        </w:tc>
        <w:tc>
          <w:tcPr>
            <w:tcW w:w="1842" w:type="dxa"/>
            <w:shd w:val="clear" w:color="auto" w:fill="auto"/>
            <w:tcMar>
              <w:top w:w="15" w:type="dxa"/>
              <w:left w:w="15" w:type="dxa"/>
              <w:bottom w:w="0" w:type="dxa"/>
              <w:right w:w="15" w:type="dxa"/>
            </w:tcMar>
            <w:vAlign w:val="bottom"/>
            <w:hideMark/>
          </w:tcPr>
          <w:p w14:paraId="4A5D9089" w14:textId="77777777" w:rsidR="002F4E85" w:rsidRPr="00CA6930" w:rsidRDefault="002F4E85" w:rsidP="00CA6930">
            <w:pPr>
              <w:spacing w:line="276" w:lineRule="auto"/>
              <w:rPr>
                <w:rFonts w:ascii="Arial" w:hAnsi="Arial" w:cs="Arial"/>
                <w:color w:val="000000"/>
                <w:sz w:val="22"/>
                <w:szCs w:val="22"/>
              </w:rPr>
            </w:pPr>
            <w:r w:rsidRPr="00CA6930">
              <w:rPr>
                <w:rFonts w:ascii="Arial" w:hAnsi="Arial" w:cs="Arial"/>
                <w:color w:val="000000"/>
                <w:sz w:val="22"/>
                <w:szCs w:val="22"/>
              </w:rPr>
              <w:t> </w:t>
            </w:r>
          </w:p>
        </w:tc>
      </w:tr>
      <w:tr w:rsidR="002F4E85" w:rsidRPr="00CA6930" w14:paraId="2E8043D0"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53B80517" w14:textId="1CB0933E" w:rsidR="002F4E85" w:rsidRPr="00CA6930" w:rsidRDefault="00135C29" w:rsidP="00CA6930">
            <w:pPr>
              <w:spacing w:line="276" w:lineRule="auto"/>
              <w:rPr>
                <w:rFonts w:ascii="Arial" w:hAnsi="Arial" w:cs="Arial"/>
                <w:color w:val="000000"/>
                <w:sz w:val="22"/>
                <w:szCs w:val="22"/>
              </w:rPr>
            </w:pPr>
            <w:r w:rsidRPr="00CA6930">
              <w:rPr>
                <w:rFonts w:ascii="Arial" w:hAnsi="Arial" w:cs="Arial"/>
                <w:sz w:val="22"/>
                <w:szCs w:val="22"/>
              </w:rPr>
              <w:t>Cost of Provision (all-in costs)</w:t>
            </w:r>
            <w:r w:rsidRPr="00CA6930">
              <w:rPr>
                <w:rFonts w:ascii="Arial" w:hAnsi="Arial" w:cs="Arial"/>
                <w:sz w:val="22"/>
                <w:szCs w:val="22"/>
                <w:vertAlign w:val="superscript"/>
              </w:rPr>
              <w:fldChar w:fldCharType="begin"/>
            </w:r>
            <w:r w:rsidRPr="00CA6930">
              <w:rPr>
                <w:rFonts w:ascii="Arial" w:hAnsi="Arial" w:cs="Arial"/>
                <w:sz w:val="22"/>
                <w:szCs w:val="22"/>
                <w:vertAlign w:val="superscript"/>
              </w:rPr>
              <w:instrText xml:space="preserve"> NOTEREF _Ref88032561 \h  \* MERGEFORMAT </w:instrText>
            </w:r>
            <w:r w:rsidRPr="00CA6930">
              <w:rPr>
                <w:rFonts w:ascii="Arial" w:hAnsi="Arial" w:cs="Arial"/>
                <w:sz w:val="22"/>
                <w:szCs w:val="22"/>
                <w:vertAlign w:val="superscript"/>
              </w:rPr>
            </w:r>
            <w:r w:rsidRPr="00CA6930">
              <w:rPr>
                <w:rFonts w:ascii="Arial" w:hAnsi="Arial" w:cs="Arial"/>
                <w:sz w:val="22"/>
                <w:szCs w:val="22"/>
                <w:vertAlign w:val="superscript"/>
              </w:rPr>
              <w:fldChar w:fldCharType="separate"/>
            </w:r>
            <w:r w:rsidRPr="00CA6930">
              <w:rPr>
                <w:rFonts w:ascii="Arial" w:hAnsi="Arial" w:cs="Arial"/>
                <w:sz w:val="22"/>
                <w:szCs w:val="22"/>
                <w:vertAlign w:val="superscript"/>
              </w:rPr>
              <w:t>2</w:t>
            </w:r>
            <w:r w:rsidRPr="00CA6930">
              <w:rPr>
                <w:rFonts w:ascii="Arial" w:hAnsi="Arial" w:cs="Arial"/>
                <w:sz w:val="22"/>
                <w:szCs w:val="22"/>
                <w:vertAlign w:val="superscript"/>
              </w:rPr>
              <w:fldChar w:fldCharType="end"/>
            </w:r>
            <w:r w:rsidR="002F4E85" w:rsidRPr="00CA6930">
              <w:rPr>
                <w:rFonts w:ascii="Arial" w:hAnsi="Arial" w:cs="Arial"/>
                <w:sz w:val="22"/>
                <w:szCs w:val="22"/>
              </w:rPr>
              <w:t>Cost of Provision (all-in costs)</w:t>
            </w:r>
            <w:r w:rsidR="00585C9C" w:rsidRPr="004744E8">
              <w:rPr>
                <w:rFonts w:ascii="Arial" w:hAnsi="Arial" w:cs="Arial"/>
                <w:sz w:val="22"/>
                <w:szCs w:val="22"/>
                <w:vertAlign w:val="superscript"/>
              </w:rPr>
              <w:fldChar w:fldCharType="begin"/>
            </w:r>
            <w:r w:rsidR="00585C9C" w:rsidRPr="004744E8">
              <w:rPr>
                <w:rFonts w:ascii="Arial" w:hAnsi="Arial" w:cs="Arial"/>
                <w:sz w:val="22"/>
                <w:szCs w:val="22"/>
                <w:vertAlign w:val="superscript"/>
              </w:rPr>
              <w:instrText xml:space="preserve"> NOTEREF _Ref88032561 \h </w:instrText>
            </w:r>
            <w:r w:rsidR="00585C9C" w:rsidRPr="00CA6930">
              <w:rPr>
                <w:rFonts w:ascii="Arial" w:hAnsi="Arial" w:cs="Arial"/>
                <w:sz w:val="22"/>
                <w:szCs w:val="22"/>
                <w:vertAlign w:val="superscript"/>
              </w:rPr>
              <w:instrText xml:space="preserve"> \* MERGEFORMAT </w:instrText>
            </w:r>
            <w:r w:rsidR="00585C9C" w:rsidRPr="004744E8">
              <w:rPr>
                <w:rFonts w:ascii="Arial" w:hAnsi="Arial" w:cs="Arial"/>
                <w:sz w:val="22"/>
                <w:szCs w:val="22"/>
                <w:vertAlign w:val="superscript"/>
              </w:rPr>
            </w:r>
            <w:r w:rsidR="00585C9C" w:rsidRPr="004744E8">
              <w:rPr>
                <w:rFonts w:ascii="Arial" w:hAnsi="Arial" w:cs="Arial"/>
                <w:sz w:val="22"/>
                <w:szCs w:val="22"/>
                <w:vertAlign w:val="superscript"/>
              </w:rPr>
              <w:fldChar w:fldCharType="separate"/>
            </w:r>
            <w:r w:rsidR="00585C9C" w:rsidRPr="004744E8">
              <w:rPr>
                <w:rFonts w:ascii="Arial" w:hAnsi="Arial" w:cs="Arial"/>
                <w:sz w:val="22"/>
                <w:szCs w:val="22"/>
                <w:vertAlign w:val="superscript"/>
              </w:rPr>
              <w:t>2</w:t>
            </w:r>
            <w:r w:rsidR="00585C9C" w:rsidRPr="004744E8">
              <w:rPr>
                <w:rFonts w:ascii="Arial" w:hAnsi="Arial" w:cs="Arial"/>
                <w:sz w:val="22"/>
                <w:szCs w:val="22"/>
                <w:vertAlign w:val="superscript"/>
              </w:rPr>
              <w:fldChar w:fldCharType="end"/>
            </w:r>
          </w:p>
        </w:tc>
        <w:tc>
          <w:tcPr>
            <w:tcW w:w="1842" w:type="dxa"/>
            <w:shd w:val="clear" w:color="auto" w:fill="auto"/>
            <w:noWrap/>
            <w:tcMar>
              <w:top w:w="15" w:type="dxa"/>
              <w:left w:w="15" w:type="dxa"/>
              <w:bottom w:w="0" w:type="dxa"/>
              <w:right w:w="15" w:type="dxa"/>
            </w:tcMar>
            <w:vAlign w:val="bottom"/>
            <w:hideMark/>
          </w:tcPr>
          <w:p w14:paraId="55A8242A" w14:textId="77777777" w:rsidR="002F4E85" w:rsidRPr="00CA6930" w:rsidRDefault="002F4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€400,000 </w:t>
            </w:r>
          </w:p>
        </w:tc>
      </w:tr>
      <w:tr w:rsidR="002F4E85" w:rsidRPr="00CA6930" w14:paraId="7E85AE15"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09B65344" w14:textId="68CD3BB7" w:rsidR="002F4E85" w:rsidRPr="00CA6930" w:rsidRDefault="002F4E85" w:rsidP="00CA6930">
            <w:pPr>
              <w:spacing w:line="276" w:lineRule="auto"/>
              <w:rPr>
                <w:rFonts w:ascii="Arial" w:hAnsi="Arial" w:cs="Arial"/>
                <w:color w:val="000000"/>
                <w:sz w:val="22"/>
                <w:szCs w:val="22"/>
              </w:rPr>
            </w:pPr>
            <w:r w:rsidRPr="00CA6930">
              <w:rPr>
                <w:rFonts w:ascii="Arial" w:hAnsi="Arial" w:cs="Arial"/>
                <w:sz w:val="22"/>
                <w:szCs w:val="22"/>
              </w:rPr>
              <w:t>Affordable Housing Funding (AHF)</w:t>
            </w:r>
          </w:p>
        </w:tc>
        <w:tc>
          <w:tcPr>
            <w:tcW w:w="1842" w:type="dxa"/>
            <w:shd w:val="clear" w:color="auto" w:fill="auto"/>
            <w:noWrap/>
            <w:tcMar>
              <w:top w:w="15" w:type="dxa"/>
              <w:left w:w="15" w:type="dxa"/>
              <w:bottom w:w="0" w:type="dxa"/>
              <w:right w:w="15" w:type="dxa"/>
            </w:tcMar>
            <w:vAlign w:val="bottom"/>
            <w:hideMark/>
          </w:tcPr>
          <w:p w14:paraId="32A4FCDE" w14:textId="77777777" w:rsidR="002F4E85" w:rsidRPr="00CA6930" w:rsidRDefault="002F4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€50,000 </w:t>
            </w:r>
          </w:p>
        </w:tc>
      </w:tr>
      <w:tr w:rsidR="002F4E85" w:rsidRPr="00CA6930" w14:paraId="3B570184"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697448DF" w14:textId="49030E58" w:rsidR="002F4E85" w:rsidRPr="00CA6930" w:rsidRDefault="002F4E85" w:rsidP="00CA6930">
            <w:pPr>
              <w:spacing w:line="276" w:lineRule="auto"/>
              <w:rPr>
                <w:rFonts w:ascii="Arial" w:hAnsi="Arial" w:cs="Arial"/>
                <w:color w:val="000000"/>
                <w:sz w:val="22"/>
                <w:szCs w:val="22"/>
              </w:rPr>
            </w:pPr>
            <w:r w:rsidRPr="00CA6930">
              <w:rPr>
                <w:rFonts w:ascii="Arial" w:hAnsi="Arial" w:cs="Arial"/>
                <w:sz w:val="22"/>
                <w:szCs w:val="22"/>
              </w:rPr>
              <w:t xml:space="preserve">Purchaser </w:t>
            </w:r>
            <w:r w:rsidR="00012B6B" w:rsidRPr="00CA6930">
              <w:rPr>
                <w:rFonts w:ascii="Arial" w:hAnsi="Arial" w:cs="Arial"/>
                <w:sz w:val="22"/>
                <w:szCs w:val="22"/>
              </w:rPr>
              <w:t xml:space="preserve">contribution </w:t>
            </w:r>
            <w:r w:rsidRPr="00CA6930">
              <w:rPr>
                <w:rFonts w:ascii="Arial" w:hAnsi="Arial" w:cs="Arial"/>
                <w:sz w:val="22"/>
                <w:szCs w:val="22"/>
              </w:rPr>
              <w:t>Purchaser Equity Cost</w:t>
            </w:r>
          </w:p>
        </w:tc>
        <w:tc>
          <w:tcPr>
            <w:tcW w:w="1842" w:type="dxa"/>
            <w:shd w:val="clear" w:color="auto" w:fill="auto"/>
            <w:noWrap/>
            <w:tcMar>
              <w:top w:w="15" w:type="dxa"/>
              <w:left w:w="15" w:type="dxa"/>
              <w:bottom w:w="0" w:type="dxa"/>
              <w:right w:w="15" w:type="dxa"/>
            </w:tcMar>
            <w:vAlign w:val="bottom"/>
            <w:hideMark/>
          </w:tcPr>
          <w:p w14:paraId="2D1C8CEC" w14:textId="77777777" w:rsidR="002F4E85" w:rsidRPr="00CA6930" w:rsidRDefault="002F4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€350,000 </w:t>
            </w:r>
          </w:p>
        </w:tc>
      </w:tr>
      <w:tr w:rsidR="002F4E85" w:rsidRPr="00CA6930" w14:paraId="717CF49A"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13E1FF3F" w14:textId="4B937A1E" w:rsidR="002F4E85" w:rsidRPr="00CA6930" w:rsidRDefault="002F4E85" w:rsidP="00CA6930">
            <w:pPr>
              <w:spacing w:line="276" w:lineRule="auto"/>
              <w:rPr>
                <w:rFonts w:ascii="Arial" w:hAnsi="Arial" w:cs="Arial"/>
                <w:color w:val="000000"/>
                <w:sz w:val="22"/>
                <w:szCs w:val="22"/>
              </w:rPr>
            </w:pPr>
            <w:r w:rsidRPr="00CA6930">
              <w:rPr>
                <w:rFonts w:ascii="Arial" w:hAnsi="Arial" w:cs="Arial"/>
                <w:sz w:val="22"/>
                <w:szCs w:val="22"/>
              </w:rPr>
              <w:t>Open market values of comparable new build</w:t>
            </w:r>
          </w:p>
        </w:tc>
        <w:tc>
          <w:tcPr>
            <w:tcW w:w="1842" w:type="dxa"/>
            <w:shd w:val="clear" w:color="auto" w:fill="auto"/>
            <w:noWrap/>
            <w:tcMar>
              <w:top w:w="15" w:type="dxa"/>
              <w:left w:w="15" w:type="dxa"/>
              <w:bottom w:w="0" w:type="dxa"/>
              <w:right w:w="15" w:type="dxa"/>
            </w:tcMar>
            <w:vAlign w:val="bottom"/>
            <w:hideMark/>
          </w:tcPr>
          <w:p w14:paraId="6009C2A4" w14:textId="77777777" w:rsidR="002F4E85" w:rsidRPr="00CA6930" w:rsidRDefault="002F4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€410,000 </w:t>
            </w:r>
          </w:p>
        </w:tc>
      </w:tr>
      <w:tr w:rsidR="005549C5" w:rsidRPr="00CA6930" w14:paraId="28173C1F" w14:textId="77777777" w:rsidTr="004744E8">
        <w:trPr>
          <w:trHeight w:val="290"/>
        </w:trPr>
        <w:tc>
          <w:tcPr>
            <w:tcW w:w="7225" w:type="dxa"/>
            <w:shd w:val="clear" w:color="auto" w:fill="auto"/>
            <w:noWrap/>
            <w:tcMar>
              <w:top w:w="15" w:type="dxa"/>
              <w:left w:w="15" w:type="dxa"/>
              <w:bottom w:w="0" w:type="dxa"/>
              <w:right w:w="15" w:type="dxa"/>
            </w:tcMar>
            <w:vAlign w:val="bottom"/>
            <w:hideMark/>
          </w:tcPr>
          <w:p w14:paraId="61C0AEC8" w14:textId="73C0A62A" w:rsidR="002B1E85" w:rsidRPr="00CA6930" w:rsidRDefault="00F06693" w:rsidP="00CA6930">
            <w:pPr>
              <w:spacing w:line="276" w:lineRule="auto"/>
              <w:rPr>
                <w:rFonts w:ascii="Arial" w:hAnsi="Arial" w:cs="Arial"/>
                <w:color w:val="000000"/>
                <w:sz w:val="22"/>
                <w:szCs w:val="22"/>
              </w:rPr>
            </w:pPr>
            <w:r w:rsidRPr="00CA6930">
              <w:rPr>
                <w:rFonts w:ascii="Arial" w:hAnsi="Arial" w:cs="Arial"/>
                <w:sz w:val="22"/>
                <w:szCs w:val="22"/>
              </w:rPr>
              <w:t>Discount</w:t>
            </w:r>
            <w:r w:rsidR="002B1E85" w:rsidRPr="00CA6930">
              <w:rPr>
                <w:rFonts w:ascii="Arial" w:hAnsi="Arial" w:cs="Arial"/>
                <w:color w:val="000000"/>
                <w:sz w:val="22"/>
                <w:szCs w:val="22"/>
              </w:rPr>
              <w:t xml:space="preserve">: </w:t>
            </w:r>
            <w:r w:rsidR="002B1E85" w:rsidRPr="00CA6930">
              <w:rPr>
                <w:rFonts w:ascii="Arial" w:hAnsi="Arial" w:cs="Arial"/>
                <w:b/>
                <w:bCs/>
                <w:color w:val="000000"/>
                <w:sz w:val="22"/>
                <w:szCs w:val="22"/>
              </w:rPr>
              <w:t>14.63%</w:t>
            </w:r>
          </w:p>
        </w:tc>
        <w:tc>
          <w:tcPr>
            <w:tcW w:w="1842" w:type="dxa"/>
            <w:shd w:val="clear" w:color="auto" w:fill="auto"/>
            <w:noWrap/>
            <w:tcMar>
              <w:top w:w="15" w:type="dxa"/>
              <w:left w:w="15" w:type="dxa"/>
              <w:bottom w:w="0" w:type="dxa"/>
              <w:right w:w="15" w:type="dxa"/>
            </w:tcMar>
            <w:vAlign w:val="bottom"/>
            <w:hideMark/>
          </w:tcPr>
          <w:p w14:paraId="37FE0BCB" w14:textId="77777777" w:rsidR="002B1E85" w:rsidRPr="00CA6930" w:rsidRDefault="002B1E85" w:rsidP="00CA6930">
            <w:pPr>
              <w:spacing w:line="276" w:lineRule="auto"/>
              <w:jc w:val="right"/>
              <w:rPr>
                <w:rFonts w:ascii="Arial" w:hAnsi="Arial" w:cs="Arial"/>
                <w:color w:val="000000"/>
                <w:sz w:val="22"/>
                <w:szCs w:val="22"/>
              </w:rPr>
            </w:pPr>
            <w:r w:rsidRPr="00CA6930">
              <w:rPr>
                <w:rFonts w:ascii="Arial" w:hAnsi="Arial" w:cs="Arial"/>
                <w:color w:val="000000"/>
                <w:sz w:val="22"/>
                <w:szCs w:val="22"/>
              </w:rPr>
              <w:t xml:space="preserve">€60,000 </w:t>
            </w:r>
          </w:p>
        </w:tc>
      </w:tr>
    </w:tbl>
    <w:p w14:paraId="06F989BA" w14:textId="77777777" w:rsidR="0099024A" w:rsidRPr="00CA6930" w:rsidRDefault="0099024A" w:rsidP="00CA6930">
      <w:pPr>
        <w:spacing w:after="160" w:line="276" w:lineRule="auto"/>
        <w:rPr>
          <w:rFonts w:ascii="Arial" w:hAnsi="Arial" w:cs="Arial"/>
          <w:sz w:val="22"/>
          <w:szCs w:val="22"/>
        </w:rPr>
      </w:pPr>
    </w:p>
    <w:p w14:paraId="0C35F5D6" w14:textId="371BF3E7" w:rsidR="00113988" w:rsidRPr="00CA6930" w:rsidRDefault="00113988" w:rsidP="00CA6930">
      <w:pPr>
        <w:pStyle w:val="Heading4"/>
        <w:spacing w:line="276" w:lineRule="auto"/>
        <w:rPr>
          <w:rFonts w:ascii="Arial" w:hAnsi="Arial" w:cs="Arial"/>
          <w:sz w:val="22"/>
          <w:szCs w:val="22"/>
        </w:rPr>
      </w:pPr>
      <w:bookmarkStart w:id="6" w:name="_Toc88063359"/>
      <w:r w:rsidRPr="00CA6930">
        <w:rPr>
          <w:rFonts w:ascii="Arial" w:hAnsi="Arial" w:cs="Arial"/>
          <w:sz w:val="22"/>
          <w:szCs w:val="22"/>
        </w:rPr>
        <w:t>2.1.2</w:t>
      </w:r>
      <w:r w:rsidRPr="00CA6930">
        <w:rPr>
          <w:rFonts w:ascii="Arial" w:hAnsi="Arial" w:cs="Arial"/>
          <w:sz w:val="22"/>
          <w:szCs w:val="22"/>
        </w:rPr>
        <w:tab/>
        <w:t>Cost Rental</w:t>
      </w:r>
      <w:bookmarkEnd w:id="6"/>
      <w:r w:rsidRPr="00CA6930">
        <w:rPr>
          <w:rFonts w:ascii="Arial" w:hAnsi="Arial" w:cs="Arial"/>
          <w:sz w:val="22"/>
          <w:szCs w:val="22"/>
        </w:rPr>
        <w:t xml:space="preserve"> </w:t>
      </w:r>
    </w:p>
    <w:p w14:paraId="3B0B1FE2" w14:textId="77777777" w:rsidR="00121E1E" w:rsidRPr="00CA6930" w:rsidRDefault="00121E1E" w:rsidP="004744E8">
      <w:pPr>
        <w:spacing w:line="276" w:lineRule="auto"/>
        <w:rPr>
          <w:rFonts w:ascii="Arial" w:hAnsi="Arial" w:cs="Arial"/>
          <w:sz w:val="22"/>
          <w:szCs w:val="22"/>
          <w:lang w:eastAsia="en-US"/>
        </w:rPr>
      </w:pPr>
    </w:p>
    <w:p w14:paraId="2A6CD46F" w14:textId="3F7A5487" w:rsidR="00B43FA4" w:rsidRPr="00CA6930" w:rsidRDefault="006068C6" w:rsidP="00CA6930">
      <w:pPr>
        <w:spacing w:after="160" w:line="276" w:lineRule="auto"/>
        <w:rPr>
          <w:rFonts w:ascii="Arial" w:hAnsi="Arial" w:cs="Arial"/>
          <w:sz w:val="22"/>
          <w:szCs w:val="22"/>
        </w:rPr>
      </w:pPr>
      <w:r w:rsidRPr="00CA6930">
        <w:rPr>
          <w:rStyle w:val="normaltextrun"/>
          <w:rFonts w:ascii="Arial" w:hAnsi="Arial" w:cs="Arial"/>
          <w:sz w:val="22"/>
          <w:szCs w:val="22"/>
          <w:shd w:val="clear" w:color="auto" w:fill="FFFFFF"/>
        </w:rPr>
        <w:t>Cost Rental is a new form of housing tenure in Ireland.</w:t>
      </w:r>
      <w:r w:rsidR="00121E1E" w:rsidRPr="00CA6930">
        <w:rPr>
          <w:rStyle w:val="normaltextrun"/>
          <w:rFonts w:ascii="Arial" w:hAnsi="Arial" w:cs="Arial"/>
          <w:sz w:val="22"/>
          <w:szCs w:val="22"/>
          <w:shd w:val="clear" w:color="auto" w:fill="FFFFFF"/>
        </w:rPr>
        <w:t xml:space="preserve"> </w:t>
      </w:r>
      <w:r w:rsidRPr="00CA6930">
        <w:rPr>
          <w:rStyle w:val="normaltextrun"/>
          <w:rFonts w:ascii="Arial" w:hAnsi="Arial" w:cs="Arial"/>
          <w:sz w:val="22"/>
          <w:szCs w:val="22"/>
          <w:shd w:val="clear" w:color="auto" w:fill="FFFFFF"/>
        </w:rPr>
        <w:t xml:space="preserve">Cost rental offers a long-term, secure tenancy </w:t>
      </w:r>
      <w:r w:rsidR="00E246EC" w:rsidRPr="00CA6930">
        <w:rPr>
          <w:rStyle w:val="normaltextrun"/>
          <w:rFonts w:ascii="Arial" w:hAnsi="Arial" w:cs="Arial"/>
          <w:sz w:val="22"/>
          <w:szCs w:val="22"/>
          <w:shd w:val="clear" w:color="auto" w:fill="FFFFFF"/>
        </w:rPr>
        <w:t>with rents based on the cost of housing provision.</w:t>
      </w:r>
      <w:r w:rsidRPr="00CA6930">
        <w:rPr>
          <w:rStyle w:val="normaltextrun"/>
          <w:rFonts w:ascii="Arial" w:hAnsi="Arial" w:cs="Arial"/>
          <w:sz w:val="22"/>
          <w:szCs w:val="22"/>
          <w:shd w:val="clear" w:color="auto" w:fill="FFFFFF"/>
        </w:rPr>
        <w:t xml:space="preserve"> Cost rental homes </w:t>
      </w:r>
      <w:r w:rsidR="00E246EC" w:rsidRPr="00CA6930">
        <w:rPr>
          <w:rStyle w:val="normaltextrun"/>
          <w:rFonts w:ascii="Arial" w:hAnsi="Arial" w:cs="Arial"/>
          <w:sz w:val="22"/>
          <w:szCs w:val="22"/>
          <w:shd w:val="clear" w:color="auto" w:fill="FFFFFF"/>
        </w:rPr>
        <w:t xml:space="preserve">must achieve </w:t>
      </w:r>
      <w:r w:rsidRPr="00CA6930">
        <w:rPr>
          <w:rStyle w:val="normaltextrun"/>
          <w:rFonts w:ascii="Arial" w:hAnsi="Arial" w:cs="Arial"/>
          <w:sz w:val="22"/>
          <w:szCs w:val="22"/>
          <w:shd w:val="clear" w:color="auto" w:fill="FFFFFF"/>
        </w:rPr>
        <w:t xml:space="preserve">a reduction of at least 25% on open market rental values. </w:t>
      </w:r>
      <w:r w:rsidRPr="00CA6930">
        <w:rPr>
          <w:rFonts w:ascii="Arial" w:hAnsi="Arial" w:cs="Arial"/>
          <w:sz w:val="22"/>
          <w:szCs w:val="22"/>
        </w:rPr>
        <w:t>A</w:t>
      </w:r>
      <w:r w:rsidR="00AB6A7D" w:rsidRPr="00CA6930">
        <w:rPr>
          <w:rFonts w:ascii="Arial" w:hAnsi="Arial" w:cs="Arial"/>
          <w:sz w:val="22"/>
          <w:szCs w:val="22"/>
        </w:rPr>
        <w:t>ny p</w:t>
      </w:r>
      <w:r w:rsidR="005549C5" w:rsidRPr="00CA6930">
        <w:rPr>
          <w:rFonts w:ascii="Arial" w:hAnsi="Arial" w:cs="Arial"/>
          <w:sz w:val="22"/>
          <w:szCs w:val="22"/>
        </w:rPr>
        <w:t>roperties being considered by</w:t>
      </w:r>
      <w:r w:rsidR="0077174A">
        <w:rPr>
          <w:rFonts w:ascii="Arial" w:hAnsi="Arial" w:cs="Arial"/>
          <w:sz w:val="22"/>
          <w:szCs w:val="22"/>
        </w:rPr>
        <w:t xml:space="preserve"> Meath County Council</w:t>
      </w:r>
      <w:r w:rsidR="00AB6A7D" w:rsidRPr="00CA6930">
        <w:rPr>
          <w:rFonts w:ascii="Arial" w:hAnsi="Arial" w:cs="Arial"/>
          <w:sz w:val="22"/>
          <w:szCs w:val="22"/>
        </w:rPr>
        <w:t xml:space="preserve"> under this call for </w:t>
      </w:r>
      <w:r w:rsidR="005549C5" w:rsidRPr="00CA6930">
        <w:rPr>
          <w:rFonts w:ascii="Arial" w:hAnsi="Arial" w:cs="Arial"/>
          <w:sz w:val="22"/>
          <w:szCs w:val="22"/>
        </w:rPr>
        <w:t xml:space="preserve">the new cost rental tenure arrangements will need to ultimately deliver a minimum of 25% discount on open market </w:t>
      </w:r>
      <w:proofErr w:type="gramStart"/>
      <w:r w:rsidR="005549C5" w:rsidRPr="00CA6930">
        <w:rPr>
          <w:rFonts w:ascii="Arial" w:hAnsi="Arial" w:cs="Arial"/>
          <w:sz w:val="22"/>
          <w:szCs w:val="22"/>
        </w:rPr>
        <w:t xml:space="preserve">rents </w:t>
      </w:r>
      <w:bookmarkEnd w:id="5"/>
      <w:r w:rsidR="0099024A" w:rsidRPr="00CA6930">
        <w:rPr>
          <w:rFonts w:ascii="Arial" w:hAnsi="Arial" w:cs="Arial"/>
          <w:sz w:val="22"/>
          <w:szCs w:val="22"/>
        </w:rPr>
        <w:t>.</w:t>
      </w:r>
      <w:proofErr w:type="gramEnd"/>
    </w:p>
    <w:p w14:paraId="71D9B6BA" w14:textId="3A80F1E2" w:rsidR="00641F62" w:rsidRPr="00CA6930" w:rsidRDefault="00641F62" w:rsidP="00CA6930">
      <w:pPr>
        <w:pStyle w:val="Heading3"/>
        <w:spacing w:line="276" w:lineRule="auto"/>
        <w:rPr>
          <w:rFonts w:ascii="Arial" w:hAnsi="Arial" w:cs="Arial"/>
          <w:sz w:val="22"/>
          <w:szCs w:val="22"/>
        </w:rPr>
      </w:pPr>
      <w:bookmarkStart w:id="7" w:name="_Toc86343280"/>
      <w:bookmarkStart w:id="8" w:name="_Toc88063360"/>
      <w:r w:rsidRPr="00CA6930">
        <w:rPr>
          <w:rFonts w:ascii="Arial" w:hAnsi="Arial" w:cs="Arial"/>
          <w:sz w:val="22"/>
          <w:szCs w:val="22"/>
        </w:rPr>
        <w:lastRenderedPageBreak/>
        <w:t>2.1</w:t>
      </w:r>
      <w:r w:rsidRPr="00CA6930">
        <w:rPr>
          <w:rFonts w:ascii="Arial" w:hAnsi="Arial" w:cs="Arial"/>
          <w:sz w:val="22"/>
          <w:szCs w:val="22"/>
        </w:rPr>
        <w:tab/>
        <w:t>Background information</w:t>
      </w:r>
      <w:bookmarkEnd w:id="7"/>
      <w:bookmarkEnd w:id="8"/>
      <w:r w:rsidRPr="00CA6930">
        <w:rPr>
          <w:rFonts w:ascii="Arial" w:hAnsi="Arial" w:cs="Arial"/>
          <w:sz w:val="22"/>
          <w:szCs w:val="22"/>
        </w:rPr>
        <w:t xml:space="preserve"> </w:t>
      </w:r>
    </w:p>
    <w:p w14:paraId="5D95C6D9" w14:textId="77777777" w:rsidR="00641F62" w:rsidRPr="00CA6930" w:rsidRDefault="00641F62" w:rsidP="00CA6930">
      <w:pPr>
        <w:pStyle w:val="Default"/>
        <w:spacing w:line="276" w:lineRule="auto"/>
        <w:jc w:val="both"/>
        <w:rPr>
          <w:b/>
          <w:color w:val="222A35" w:themeColor="text2" w:themeShade="80"/>
          <w:sz w:val="22"/>
          <w:szCs w:val="22"/>
        </w:rPr>
      </w:pPr>
    </w:p>
    <w:p w14:paraId="0C79A4A7" w14:textId="77777777" w:rsidR="00B43FA4" w:rsidRPr="00CA6930" w:rsidRDefault="00B43FA4" w:rsidP="00CA6930">
      <w:pPr>
        <w:pStyle w:val="Heading4"/>
        <w:spacing w:line="276" w:lineRule="auto"/>
        <w:rPr>
          <w:rFonts w:ascii="Arial" w:hAnsi="Arial" w:cs="Arial"/>
          <w:sz w:val="22"/>
          <w:szCs w:val="22"/>
        </w:rPr>
      </w:pPr>
      <w:bookmarkStart w:id="9" w:name="_Toc88063361"/>
      <w:r w:rsidRPr="00CA6930">
        <w:rPr>
          <w:rFonts w:ascii="Arial" w:hAnsi="Arial" w:cs="Arial"/>
          <w:sz w:val="22"/>
          <w:szCs w:val="22"/>
        </w:rPr>
        <w:t>2.1.1</w:t>
      </w:r>
      <w:r w:rsidRPr="00CA6930">
        <w:rPr>
          <w:rFonts w:ascii="Arial" w:hAnsi="Arial" w:cs="Arial"/>
          <w:sz w:val="22"/>
          <w:szCs w:val="22"/>
        </w:rPr>
        <w:tab/>
        <w:t>Areas of Need</w:t>
      </w:r>
      <w:bookmarkEnd w:id="9"/>
    </w:p>
    <w:p w14:paraId="31AE6393" w14:textId="77777777" w:rsidR="00B43FA4" w:rsidRPr="00CA6930" w:rsidRDefault="00B43FA4" w:rsidP="00CA6930">
      <w:pPr>
        <w:pStyle w:val="Default"/>
        <w:spacing w:line="276" w:lineRule="auto"/>
        <w:jc w:val="both"/>
        <w:rPr>
          <w:sz w:val="22"/>
          <w:szCs w:val="22"/>
        </w:rPr>
      </w:pPr>
    </w:p>
    <w:p w14:paraId="0A2ECE21" w14:textId="74E9B443"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Proposals are</w:t>
      </w:r>
      <w:r w:rsidR="0099024A" w:rsidRPr="00CA6930">
        <w:rPr>
          <w:rFonts w:ascii="Arial" w:hAnsi="Arial" w:cs="Arial"/>
          <w:sz w:val="22"/>
          <w:szCs w:val="22"/>
        </w:rPr>
        <w:t>.</w:t>
      </w:r>
      <w:r w:rsidRPr="00CA6930">
        <w:rPr>
          <w:rFonts w:ascii="Arial" w:hAnsi="Arial" w:cs="Arial"/>
          <w:sz w:val="22"/>
          <w:szCs w:val="22"/>
        </w:rPr>
        <w:t xml:space="preserve"> invited for the </w:t>
      </w:r>
      <w:r w:rsidR="00A378DB" w:rsidRPr="00CA6930">
        <w:rPr>
          <w:rFonts w:ascii="Arial" w:hAnsi="Arial" w:cs="Arial"/>
          <w:sz w:val="22"/>
          <w:szCs w:val="22"/>
        </w:rPr>
        <w:t>advance purchase of</w:t>
      </w:r>
      <w:r w:rsidRPr="00CA6930">
        <w:rPr>
          <w:rFonts w:ascii="Arial" w:hAnsi="Arial" w:cs="Arial"/>
          <w:sz w:val="22"/>
          <w:szCs w:val="22"/>
        </w:rPr>
        <w:t xml:space="preserve"> </w:t>
      </w:r>
      <w:r w:rsidR="0099024A" w:rsidRPr="00CA6930">
        <w:rPr>
          <w:rFonts w:ascii="Arial" w:hAnsi="Arial" w:cs="Arial"/>
          <w:sz w:val="22"/>
          <w:szCs w:val="22"/>
        </w:rPr>
        <w:t xml:space="preserve">turnkey properties </w:t>
      </w:r>
      <w:r w:rsidRPr="00CA6930">
        <w:rPr>
          <w:rFonts w:ascii="Arial" w:hAnsi="Arial" w:cs="Arial"/>
          <w:sz w:val="22"/>
          <w:szCs w:val="22"/>
        </w:rPr>
        <w:t xml:space="preserve">for </w:t>
      </w:r>
      <w:r w:rsidR="00641F62" w:rsidRPr="00CA6930">
        <w:rPr>
          <w:rFonts w:ascii="Arial" w:hAnsi="Arial" w:cs="Arial"/>
          <w:sz w:val="22"/>
          <w:szCs w:val="22"/>
        </w:rPr>
        <w:t>affordable</w:t>
      </w:r>
      <w:r w:rsidR="007A2F06" w:rsidRPr="00CA6930">
        <w:rPr>
          <w:rFonts w:ascii="Arial" w:hAnsi="Arial" w:cs="Arial"/>
          <w:sz w:val="22"/>
          <w:szCs w:val="22"/>
        </w:rPr>
        <w:t xml:space="preserve">, </w:t>
      </w:r>
      <w:r w:rsidR="00B6665C" w:rsidRPr="00CA6930">
        <w:rPr>
          <w:rFonts w:ascii="Arial" w:hAnsi="Arial" w:cs="Arial"/>
          <w:sz w:val="22"/>
          <w:szCs w:val="22"/>
        </w:rPr>
        <w:t>mixed tenure</w:t>
      </w:r>
      <w:r w:rsidRPr="00CA6930">
        <w:rPr>
          <w:rFonts w:ascii="Arial" w:hAnsi="Arial" w:cs="Arial"/>
          <w:sz w:val="22"/>
          <w:szCs w:val="22"/>
        </w:rPr>
        <w:t xml:space="preserve"> </w:t>
      </w:r>
      <w:r w:rsidR="007A2F06" w:rsidRPr="00CA6930">
        <w:rPr>
          <w:rFonts w:ascii="Arial" w:hAnsi="Arial" w:cs="Arial"/>
          <w:sz w:val="22"/>
          <w:szCs w:val="22"/>
        </w:rPr>
        <w:t xml:space="preserve">or social </w:t>
      </w:r>
      <w:r w:rsidRPr="00CA6930">
        <w:rPr>
          <w:rFonts w:ascii="Arial" w:hAnsi="Arial" w:cs="Arial"/>
          <w:sz w:val="22"/>
          <w:szCs w:val="22"/>
        </w:rPr>
        <w:t xml:space="preserve">housing within the functional area </w:t>
      </w:r>
      <w:r w:rsidR="0077174A">
        <w:rPr>
          <w:rFonts w:ascii="Arial" w:hAnsi="Arial" w:cs="Arial"/>
          <w:sz w:val="22"/>
          <w:szCs w:val="22"/>
        </w:rPr>
        <w:t>of Meath County Council.</w:t>
      </w:r>
      <w:r w:rsidRPr="00CA6930">
        <w:rPr>
          <w:rFonts w:ascii="Arial" w:hAnsi="Arial" w:cs="Arial"/>
          <w:sz w:val="22"/>
          <w:szCs w:val="22"/>
        </w:rPr>
        <w:t xml:space="preserve"> </w:t>
      </w:r>
    </w:p>
    <w:p w14:paraId="40A685A8" w14:textId="77777777" w:rsidR="00B43FA4" w:rsidRPr="00CA6930" w:rsidRDefault="00B43FA4" w:rsidP="00CA6930">
      <w:pPr>
        <w:pStyle w:val="Default"/>
        <w:spacing w:line="276" w:lineRule="auto"/>
        <w:jc w:val="both"/>
        <w:rPr>
          <w:sz w:val="22"/>
          <w:szCs w:val="22"/>
        </w:rPr>
      </w:pPr>
    </w:p>
    <w:p w14:paraId="4F624450" w14:textId="52FBB6A8" w:rsidR="00B43FA4" w:rsidRPr="00CA6930" w:rsidRDefault="0077174A" w:rsidP="00CA6930">
      <w:pPr>
        <w:spacing w:line="276" w:lineRule="auto"/>
        <w:rPr>
          <w:rFonts w:ascii="Arial" w:hAnsi="Arial" w:cs="Arial"/>
          <w:sz w:val="22"/>
          <w:szCs w:val="22"/>
        </w:rPr>
      </w:pPr>
      <w:r>
        <w:rPr>
          <w:rFonts w:ascii="Arial" w:hAnsi="Arial" w:cs="Arial"/>
          <w:sz w:val="22"/>
          <w:szCs w:val="22"/>
        </w:rPr>
        <w:t xml:space="preserve">Meath County Council is </w:t>
      </w:r>
      <w:r w:rsidR="00B43FA4" w:rsidRPr="0077174A">
        <w:rPr>
          <w:rFonts w:ascii="Arial" w:hAnsi="Arial" w:cs="Arial"/>
          <w:sz w:val="22"/>
          <w:szCs w:val="22"/>
        </w:rPr>
        <w:t>interested</w:t>
      </w:r>
      <w:r w:rsidR="00B43FA4" w:rsidRPr="00CA6930">
        <w:rPr>
          <w:rFonts w:ascii="Arial" w:hAnsi="Arial" w:cs="Arial"/>
          <w:sz w:val="22"/>
          <w:szCs w:val="22"/>
        </w:rPr>
        <w:t xml:space="preserve"> in proposals in the following locations</w:t>
      </w:r>
      <w:r w:rsidR="00447AFA" w:rsidRPr="00CA6930">
        <w:rPr>
          <w:rFonts w:ascii="Arial" w:hAnsi="Arial" w:cs="Arial"/>
          <w:sz w:val="22"/>
          <w:szCs w:val="22"/>
        </w:rPr>
        <w:t xml:space="preserve"> and has a particular need </w:t>
      </w:r>
      <w:r w:rsidR="00EF25EF" w:rsidRPr="00CA6930">
        <w:rPr>
          <w:rFonts w:ascii="Arial" w:hAnsi="Arial" w:cs="Arial"/>
          <w:sz w:val="22"/>
          <w:szCs w:val="22"/>
        </w:rPr>
        <w:t>[</w:t>
      </w:r>
      <w:r w:rsidR="00447AFA" w:rsidRPr="00CA6930">
        <w:rPr>
          <w:rFonts w:ascii="Arial" w:hAnsi="Arial" w:cs="Arial"/>
          <w:sz w:val="22"/>
          <w:szCs w:val="22"/>
        </w:rPr>
        <w:t xml:space="preserve">for </w:t>
      </w:r>
      <w:r>
        <w:rPr>
          <w:rFonts w:ascii="Arial" w:hAnsi="Arial" w:cs="Arial"/>
          <w:sz w:val="22"/>
          <w:szCs w:val="22"/>
        </w:rPr>
        <w:t>2/3</w:t>
      </w:r>
      <w:r w:rsidR="00447AFA" w:rsidRPr="00CA6930">
        <w:rPr>
          <w:rFonts w:ascii="Arial" w:hAnsi="Arial" w:cs="Arial"/>
          <w:sz w:val="22"/>
          <w:szCs w:val="22"/>
        </w:rPr>
        <w:t xml:space="preserve"> bed properties</w:t>
      </w:r>
      <w:r w:rsidR="00EF25EF" w:rsidRPr="00CA6930">
        <w:rPr>
          <w:rFonts w:ascii="Arial" w:hAnsi="Arial" w:cs="Arial"/>
          <w:sz w:val="22"/>
          <w:szCs w:val="22"/>
        </w:rPr>
        <w:t>]</w:t>
      </w:r>
      <w:r w:rsidR="00447AFA" w:rsidRPr="00CA6930">
        <w:rPr>
          <w:rFonts w:ascii="Arial" w:hAnsi="Arial" w:cs="Arial"/>
          <w:sz w:val="22"/>
          <w:szCs w:val="22"/>
        </w:rPr>
        <w:t xml:space="preserve">. </w:t>
      </w:r>
      <w:r w:rsidR="009C3401" w:rsidRPr="00CA6930">
        <w:rPr>
          <w:rFonts w:ascii="Arial" w:hAnsi="Arial" w:cs="Arial"/>
          <w:sz w:val="22"/>
          <w:szCs w:val="22"/>
        </w:rPr>
        <w:t xml:space="preserve"> </w:t>
      </w:r>
    </w:p>
    <w:p w14:paraId="07E39971" w14:textId="77777777" w:rsidR="00B43FA4" w:rsidRPr="00CA6930" w:rsidRDefault="00B43FA4" w:rsidP="00CA6930">
      <w:pPr>
        <w:pStyle w:val="Default"/>
        <w:spacing w:line="276" w:lineRule="auto"/>
        <w:jc w:val="both"/>
        <w:rPr>
          <w:sz w:val="22"/>
          <w:szCs w:val="22"/>
        </w:rPr>
      </w:pPr>
    </w:p>
    <w:tbl>
      <w:tblPr>
        <w:tblStyle w:val="TableGrid"/>
        <w:tblW w:w="8222" w:type="dxa"/>
        <w:tblInd w:w="137" w:type="dxa"/>
        <w:tblBorders>
          <w:top w:val="single" w:sz="4" w:space="0" w:color="4C6380"/>
          <w:left w:val="single" w:sz="4" w:space="0" w:color="4C6380"/>
          <w:bottom w:val="single" w:sz="4" w:space="0" w:color="4C6380"/>
          <w:right w:val="single" w:sz="4" w:space="0" w:color="4C6380"/>
          <w:insideH w:val="single" w:sz="4" w:space="0" w:color="4C6380"/>
          <w:insideV w:val="single" w:sz="4" w:space="0" w:color="4C6380"/>
        </w:tblBorders>
        <w:tblLook w:val="04A0" w:firstRow="1" w:lastRow="0" w:firstColumn="1" w:lastColumn="0" w:noHBand="0" w:noVBand="1"/>
      </w:tblPr>
      <w:tblGrid>
        <w:gridCol w:w="8222"/>
      </w:tblGrid>
      <w:tr w:rsidR="00660DEE" w:rsidRPr="00CA6930" w14:paraId="1C3EDBE0" w14:textId="77777777" w:rsidTr="00014A17">
        <w:trPr>
          <w:trHeight w:val="708"/>
        </w:trPr>
        <w:tc>
          <w:tcPr>
            <w:tcW w:w="8222" w:type="dxa"/>
            <w:shd w:val="clear" w:color="auto" w:fill="4C6380"/>
            <w:vAlign w:val="center"/>
          </w:tcPr>
          <w:p w14:paraId="41823880" w14:textId="77777777" w:rsidR="00660DEE" w:rsidRPr="00CA6930" w:rsidRDefault="00660DEE" w:rsidP="00CA6930">
            <w:pPr>
              <w:spacing w:line="276" w:lineRule="auto"/>
              <w:rPr>
                <w:rFonts w:ascii="Arial" w:hAnsi="Arial" w:cs="Arial"/>
                <w:color w:val="FFFFFF" w:themeColor="background1"/>
                <w:sz w:val="22"/>
                <w:szCs w:val="22"/>
              </w:rPr>
            </w:pPr>
            <w:r w:rsidRPr="00CA6930">
              <w:rPr>
                <w:rFonts w:ascii="Arial" w:hAnsi="Arial" w:cs="Arial"/>
                <w:color w:val="FFFFFF" w:themeColor="background1"/>
                <w:sz w:val="22"/>
                <w:szCs w:val="22"/>
              </w:rPr>
              <w:t>Location</w:t>
            </w:r>
          </w:p>
        </w:tc>
      </w:tr>
      <w:tr w:rsidR="00660DEE" w:rsidRPr="00CA6930" w14:paraId="0BD8E671" w14:textId="77777777" w:rsidTr="00014A17">
        <w:trPr>
          <w:trHeight w:val="415"/>
        </w:trPr>
        <w:tc>
          <w:tcPr>
            <w:tcW w:w="8222" w:type="dxa"/>
            <w:vAlign w:val="center"/>
          </w:tcPr>
          <w:p w14:paraId="3285E4B6" w14:textId="1B9A3BA6" w:rsidR="00660DEE" w:rsidRPr="00CA6930" w:rsidRDefault="0077174A" w:rsidP="00CA6930">
            <w:pPr>
              <w:spacing w:line="276" w:lineRule="auto"/>
              <w:rPr>
                <w:rFonts w:ascii="Arial" w:hAnsi="Arial" w:cs="Arial"/>
                <w:sz w:val="22"/>
                <w:szCs w:val="22"/>
              </w:rPr>
            </w:pPr>
            <w:r>
              <w:rPr>
                <w:rFonts w:ascii="Arial" w:hAnsi="Arial" w:cs="Arial"/>
                <w:sz w:val="22"/>
                <w:szCs w:val="22"/>
              </w:rPr>
              <w:t>Ashbourne</w:t>
            </w:r>
          </w:p>
        </w:tc>
      </w:tr>
      <w:tr w:rsidR="00660DEE" w:rsidRPr="00CA6930" w14:paraId="64E1FBC6" w14:textId="77777777" w:rsidTr="00014A17">
        <w:trPr>
          <w:trHeight w:val="415"/>
        </w:trPr>
        <w:tc>
          <w:tcPr>
            <w:tcW w:w="8222" w:type="dxa"/>
            <w:vAlign w:val="center"/>
          </w:tcPr>
          <w:p w14:paraId="1B0D2C7C" w14:textId="5CD4949D" w:rsidR="00660DEE" w:rsidRPr="00CA6930" w:rsidRDefault="00874F1E" w:rsidP="00CA6930">
            <w:pPr>
              <w:spacing w:line="276" w:lineRule="auto"/>
              <w:rPr>
                <w:rFonts w:ascii="Arial" w:hAnsi="Arial" w:cs="Arial"/>
                <w:sz w:val="22"/>
                <w:szCs w:val="22"/>
              </w:rPr>
            </w:pPr>
            <w:r>
              <w:rPr>
                <w:rFonts w:ascii="Arial" w:hAnsi="Arial" w:cs="Arial"/>
                <w:sz w:val="22"/>
                <w:szCs w:val="22"/>
              </w:rPr>
              <w:t>Bettystown</w:t>
            </w:r>
          </w:p>
        </w:tc>
      </w:tr>
      <w:tr w:rsidR="00660DEE" w:rsidRPr="00CA6930" w14:paraId="1564E90A" w14:textId="77777777" w:rsidTr="00014A17">
        <w:trPr>
          <w:trHeight w:val="415"/>
        </w:trPr>
        <w:tc>
          <w:tcPr>
            <w:tcW w:w="8222" w:type="dxa"/>
            <w:vAlign w:val="center"/>
          </w:tcPr>
          <w:p w14:paraId="4C84BB49" w14:textId="0F3D1026" w:rsidR="00660DEE" w:rsidRPr="00CA6930" w:rsidRDefault="00874F1E" w:rsidP="00CA6930">
            <w:pPr>
              <w:spacing w:line="276" w:lineRule="auto"/>
              <w:rPr>
                <w:rFonts w:ascii="Arial" w:hAnsi="Arial" w:cs="Arial"/>
                <w:sz w:val="22"/>
                <w:szCs w:val="22"/>
              </w:rPr>
            </w:pPr>
            <w:r>
              <w:rPr>
                <w:rFonts w:ascii="Arial" w:hAnsi="Arial" w:cs="Arial"/>
                <w:sz w:val="22"/>
                <w:szCs w:val="22"/>
              </w:rPr>
              <w:t>Duleek</w:t>
            </w:r>
          </w:p>
        </w:tc>
      </w:tr>
      <w:tr w:rsidR="00660DEE" w:rsidRPr="00CA6930" w14:paraId="269EB83F" w14:textId="77777777" w:rsidTr="00014A17">
        <w:trPr>
          <w:trHeight w:val="415"/>
        </w:trPr>
        <w:tc>
          <w:tcPr>
            <w:tcW w:w="8222" w:type="dxa"/>
            <w:vAlign w:val="center"/>
          </w:tcPr>
          <w:p w14:paraId="5B4CED16" w14:textId="1822A6D0" w:rsidR="00660DEE" w:rsidRPr="00CA6930" w:rsidRDefault="00874F1E" w:rsidP="00CA6930">
            <w:pPr>
              <w:spacing w:line="276" w:lineRule="auto"/>
              <w:rPr>
                <w:rFonts w:ascii="Arial" w:hAnsi="Arial" w:cs="Arial"/>
                <w:sz w:val="22"/>
                <w:szCs w:val="22"/>
              </w:rPr>
            </w:pPr>
            <w:r>
              <w:rPr>
                <w:rFonts w:ascii="Arial" w:hAnsi="Arial" w:cs="Arial"/>
                <w:sz w:val="22"/>
                <w:szCs w:val="22"/>
              </w:rPr>
              <w:t>Dunboyne</w:t>
            </w:r>
          </w:p>
        </w:tc>
      </w:tr>
      <w:tr w:rsidR="00660DEE" w:rsidRPr="00CA6930" w14:paraId="0115C4BC" w14:textId="77777777" w:rsidTr="00014A17">
        <w:trPr>
          <w:trHeight w:val="415"/>
        </w:trPr>
        <w:tc>
          <w:tcPr>
            <w:tcW w:w="8222" w:type="dxa"/>
            <w:vAlign w:val="center"/>
          </w:tcPr>
          <w:p w14:paraId="320F0CEC" w14:textId="29851C43" w:rsidR="00660DEE" w:rsidRPr="00CA6930" w:rsidRDefault="00874F1E" w:rsidP="00CA6930">
            <w:pPr>
              <w:spacing w:line="276" w:lineRule="auto"/>
              <w:rPr>
                <w:rFonts w:ascii="Arial" w:hAnsi="Arial" w:cs="Arial"/>
                <w:sz w:val="22"/>
                <w:szCs w:val="22"/>
              </w:rPr>
            </w:pPr>
            <w:r>
              <w:rPr>
                <w:rFonts w:ascii="Arial" w:hAnsi="Arial" w:cs="Arial"/>
                <w:sz w:val="22"/>
                <w:szCs w:val="22"/>
              </w:rPr>
              <w:t>Dunshaughlin</w:t>
            </w:r>
          </w:p>
        </w:tc>
      </w:tr>
      <w:tr w:rsidR="00660DEE" w:rsidRPr="00CA6930" w14:paraId="5B0DB0E3" w14:textId="77777777" w:rsidTr="00014A17">
        <w:trPr>
          <w:trHeight w:val="415"/>
        </w:trPr>
        <w:tc>
          <w:tcPr>
            <w:tcW w:w="8222" w:type="dxa"/>
            <w:vAlign w:val="center"/>
          </w:tcPr>
          <w:p w14:paraId="3B290E3B" w14:textId="3A3392C3" w:rsidR="00660DEE" w:rsidRPr="00CA6930" w:rsidRDefault="00874F1E" w:rsidP="00CA6930">
            <w:pPr>
              <w:spacing w:line="276" w:lineRule="auto"/>
              <w:rPr>
                <w:rFonts w:ascii="Arial" w:hAnsi="Arial" w:cs="Arial"/>
                <w:sz w:val="22"/>
                <w:szCs w:val="22"/>
              </w:rPr>
            </w:pPr>
            <w:r>
              <w:rPr>
                <w:rFonts w:ascii="Arial" w:hAnsi="Arial" w:cs="Arial"/>
                <w:sz w:val="22"/>
                <w:szCs w:val="22"/>
              </w:rPr>
              <w:t>Enfield</w:t>
            </w:r>
          </w:p>
        </w:tc>
      </w:tr>
      <w:tr w:rsidR="00874F1E" w:rsidRPr="00CA6930" w14:paraId="039F5FED" w14:textId="77777777" w:rsidTr="00014A17">
        <w:trPr>
          <w:trHeight w:val="415"/>
        </w:trPr>
        <w:tc>
          <w:tcPr>
            <w:tcW w:w="8222" w:type="dxa"/>
            <w:vAlign w:val="center"/>
          </w:tcPr>
          <w:p w14:paraId="165CDD38" w14:textId="2F287A30" w:rsidR="00874F1E" w:rsidRDefault="00874F1E" w:rsidP="00CA6930">
            <w:pPr>
              <w:spacing w:line="276" w:lineRule="auto"/>
              <w:rPr>
                <w:rFonts w:ascii="Arial" w:hAnsi="Arial" w:cs="Arial"/>
                <w:sz w:val="22"/>
                <w:szCs w:val="22"/>
              </w:rPr>
            </w:pPr>
            <w:r>
              <w:rPr>
                <w:rFonts w:ascii="Arial" w:hAnsi="Arial" w:cs="Arial"/>
                <w:sz w:val="22"/>
                <w:szCs w:val="22"/>
              </w:rPr>
              <w:t>Kells</w:t>
            </w:r>
          </w:p>
        </w:tc>
      </w:tr>
      <w:tr w:rsidR="00874F1E" w:rsidRPr="00CA6930" w14:paraId="08A8EB7D" w14:textId="77777777" w:rsidTr="00014A17">
        <w:trPr>
          <w:trHeight w:val="415"/>
        </w:trPr>
        <w:tc>
          <w:tcPr>
            <w:tcW w:w="8222" w:type="dxa"/>
            <w:vAlign w:val="center"/>
          </w:tcPr>
          <w:p w14:paraId="058CE139" w14:textId="2A7349FD" w:rsidR="00874F1E" w:rsidRDefault="00874F1E" w:rsidP="00CA6930">
            <w:pPr>
              <w:spacing w:line="276" w:lineRule="auto"/>
              <w:rPr>
                <w:rFonts w:ascii="Arial" w:hAnsi="Arial" w:cs="Arial"/>
                <w:sz w:val="22"/>
                <w:szCs w:val="22"/>
              </w:rPr>
            </w:pPr>
            <w:r>
              <w:rPr>
                <w:rFonts w:ascii="Arial" w:hAnsi="Arial" w:cs="Arial"/>
                <w:sz w:val="22"/>
                <w:szCs w:val="22"/>
              </w:rPr>
              <w:t>Laytown</w:t>
            </w:r>
          </w:p>
        </w:tc>
      </w:tr>
      <w:tr w:rsidR="00874F1E" w:rsidRPr="00CA6930" w14:paraId="4E803900" w14:textId="77777777" w:rsidTr="00014A17">
        <w:trPr>
          <w:trHeight w:val="415"/>
        </w:trPr>
        <w:tc>
          <w:tcPr>
            <w:tcW w:w="8222" w:type="dxa"/>
            <w:vAlign w:val="center"/>
          </w:tcPr>
          <w:p w14:paraId="7864CFAE" w14:textId="6D7ABF0E" w:rsidR="00874F1E" w:rsidRDefault="00874F1E" w:rsidP="00CA6930">
            <w:pPr>
              <w:spacing w:line="276" w:lineRule="auto"/>
              <w:rPr>
                <w:rFonts w:ascii="Arial" w:hAnsi="Arial" w:cs="Arial"/>
                <w:sz w:val="22"/>
                <w:szCs w:val="22"/>
              </w:rPr>
            </w:pPr>
            <w:r>
              <w:rPr>
                <w:rFonts w:ascii="Arial" w:hAnsi="Arial" w:cs="Arial"/>
                <w:sz w:val="22"/>
                <w:szCs w:val="22"/>
              </w:rPr>
              <w:t>Navan</w:t>
            </w:r>
          </w:p>
        </w:tc>
      </w:tr>
      <w:tr w:rsidR="00874F1E" w:rsidRPr="00CA6930" w14:paraId="48B35760" w14:textId="77777777" w:rsidTr="00014A17">
        <w:trPr>
          <w:trHeight w:val="415"/>
        </w:trPr>
        <w:tc>
          <w:tcPr>
            <w:tcW w:w="8222" w:type="dxa"/>
            <w:vAlign w:val="center"/>
          </w:tcPr>
          <w:p w14:paraId="2C620DAC" w14:textId="5DC971F5" w:rsidR="00874F1E" w:rsidRDefault="00874F1E" w:rsidP="00CA6930">
            <w:pPr>
              <w:spacing w:line="276" w:lineRule="auto"/>
              <w:rPr>
                <w:rFonts w:ascii="Arial" w:hAnsi="Arial" w:cs="Arial"/>
                <w:sz w:val="22"/>
                <w:szCs w:val="22"/>
              </w:rPr>
            </w:pPr>
            <w:r>
              <w:rPr>
                <w:rFonts w:ascii="Arial" w:hAnsi="Arial" w:cs="Arial"/>
                <w:sz w:val="22"/>
                <w:szCs w:val="22"/>
              </w:rPr>
              <w:t>Ratoath</w:t>
            </w:r>
          </w:p>
        </w:tc>
      </w:tr>
      <w:tr w:rsidR="00874F1E" w:rsidRPr="00CA6930" w14:paraId="0D1FACF4" w14:textId="77777777" w:rsidTr="00014A17">
        <w:trPr>
          <w:trHeight w:val="415"/>
        </w:trPr>
        <w:tc>
          <w:tcPr>
            <w:tcW w:w="8222" w:type="dxa"/>
            <w:vAlign w:val="center"/>
          </w:tcPr>
          <w:p w14:paraId="645E34E2" w14:textId="62BBE75F" w:rsidR="00874F1E" w:rsidRDefault="00874F1E" w:rsidP="00CA6930">
            <w:pPr>
              <w:spacing w:line="276" w:lineRule="auto"/>
              <w:rPr>
                <w:rFonts w:ascii="Arial" w:hAnsi="Arial" w:cs="Arial"/>
                <w:sz w:val="22"/>
                <w:szCs w:val="22"/>
              </w:rPr>
            </w:pPr>
            <w:r>
              <w:rPr>
                <w:rFonts w:ascii="Arial" w:hAnsi="Arial" w:cs="Arial"/>
                <w:sz w:val="22"/>
                <w:szCs w:val="22"/>
              </w:rPr>
              <w:t>Slane</w:t>
            </w:r>
          </w:p>
        </w:tc>
      </w:tr>
      <w:tr w:rsidR="00874F1E" w:rsidRPr="00CA6930" w14:paraId="36EF0F9A" w14:textId="77777777" w:rsidTr="00014A17">
        <w:trPr>
          <w:trHeight w:val="415"/>
        </w:trPr>
        <w:tc>
          <w:tcPr>
            <w:tcW w:w="8222" w:type="dxa"/>
            <w:vAlign w:val="center"/>
          </w:tcPr>
          <w:p w14:paraId="15E61638" w14:textId="5866C984" w:rsidR="00874F1E" w:rsidRDefault="00874F1E" w:rsidP="00CA6930">
            <w:pPr>
              <w:spacing w:line="276" w:lineRule="auto"/>
              <w:rPr>
                <w:rFonts w:ascii="Arial" w:hAnsi="Arial" w:cs="Arial"/>
                <w:sz w:val="22"/>
                <w:szCs w:val="22"/>
              </w:rPr>
            </w:pPr>
            <w:r>
              <w:rPr>
                <w:rFonts w:ascii="Arial" w:hAnsi="Arial" w:cs="Arial"/>
                <w:sz w:val="22"/>
                <w:szCs w:val="22"/>
              </w:rPr>
              <w:t>Trim</w:t>
            </w:r>
          </w:p>
        </w:tc>
      </w:tr>
    </w:tbl>
    <w:p w14:paraId="3747EBAD" w14:textId="77777777" w:rsidR="00B43FA4" w:rsidRPr="00CA6930" w:rsidRDefault="00B43FA4" w:rsidP="00CA6930">
      <w:pPr>
        <w:spacing w:line="276" w:lineRule="auto"/>
        <w:rPr>
          <w:rFonts w:ascii="Arial" w:hAnsi="Arial" w:cs="Arial"/>
          <w:sz w:val="22"/>
          <w:szCs w:val="22"/>
        </w:rPr>
      </w:pPr>
    </w:p>
    <w:p w14:paraId="02FE5740" w14:textId="77777777" w:rsidR="00503777" w:rsidRPr="00CA6930" w:rsidRDefault="00503777" w:rsidP="00CA6930">
      <w:pPr>
        <w:spacing w:line="276" w:lineRule="auto"/>
        <w:rPr>
          <w:rFonts w:ascii="Arial" w:hAnsi="Arial" w:cs="Arial"/>
          <w:sz w:val="22"/>
          <w:szCs w:val="22"/>
        </w:rPr>
      </w:pPr>
    </w:p>
    <w:p w14:paraId="41A3343A" w14:textId="280B938F" w:rsidR="00B43FA4" w:rsidRPr="00CA6930" w:rsidRDefault="00B43FA4" w:rsidP="00CA6930">
      <w:pPr>
        <w:pStyle w:val="Heading4"/>
        <w:spacing w:line="276" w:lineRule="auto"/>
        <w:rPr>
          <w:rFonts w:ascii="Arial" w:hAnsi="Arial" w:cs="Arial"/>
          <w:sz w:val="22"/>
          <w:szCs w:val="22"/>
        </w:rPr>
      </w:pPr>
      <w:bookmarkStart w:id="10" w:name="_Toc88063362"/>
      <w:r w:rsidRPr="00CA6930">
        <w:rPr>
          <w:rFonts w:ascii="Arial" w:hAnsi="Arial" w:cs="Arial"/>
          <w:sz w:val="22"/>
          <w:szCs w:val="22"/>
        </w:rPr>
        <w:t>2.1.</w:t>
      </w:r>
      <w:r w:rsidR="008C21BA" w:rsidRPr="00CA6930">
        <w:rPr>
          <w:rFonts w:ascii="Arial" w:hAnsi="Arial" w:cs="Arial"/>
          <w:sz w:val="22"/>
          <w:szCs w:val="22"/>
        </w:rPr>
        <w:t>2</w:t>
      </w:r>
      <w:r w:rsidRPr="00CA6930">
        <w:rPr>
          <w:rFonts w:ascii="Arial" w:hAnsi="Arial" w:cs="Arial"/>
          <w:sz w:val="22"/>
          <w:szCs w:val="22"/>
        </w:rPr>
        <w:tab/>
        <w:t>Proximity to Services/Amenities</w:t>
      </w:r>
      <w:bookmarkEnd w:id="10"/>
    </w:p>
    <w:p w14:paraId="2D177B20" w14:textId="77777777" w:rsidR="00B43FA4" w:rsidRPr="00CA6930" w:rsidRDefault="00B43FA4" w:rsidP="00CA6930">
      <w:pPr>
        <w:spacing w:line="276" w:lineRule="auto"/>
        <w:rPr>
          <w:rFonts w:ascii="Arial" w:hAnsi="Arial" w:cs="Arial"/>
          <w:sz w:val="22"/>
          <w:szCs w:val="22"/>
        </w:rPr>
      </w:pPr>
    </w:p>
    <w:p w14:paraId="78DB3D3C" w14:textId="4B7F6B86" w:rsidR="00B43FA4" w:rsidRPr="00CA6930" w:rsidRDefault="00AD692F" w:rsidP="00CA6930">
      <w:pPr>
        <w:spacing w:line="276" w:lineRule="auto"/>
        <w:rPr>
          <w:rFonts w:ascii="Arial" w:hAnsi="Arial" w:cs="Arial"/>
          <w:sz w:val="22"/>
          <w:szCs w:val="22"/>
        </w:rPr>
      </w:pPr>
      <w:r w:rsidRPr="00CA6930">
        <w:rPr>
          <w:rFonts w:ascii="Arial" w:hAnsi="Arial" w:cs="Arial"/>
          <w:sz w:val="22"/>
          <w:szCs w:val="22"/>
        </w:rPr>
        <w:t>Ideally, p</w:t>
      </w:r>
      <w:r w:rsidR="00B43FA4" w:rsidRPr="00CA6930">
        <w:rPr>
          <w:rFonts w:ascii="Arial" w:hAnsi="Arial" w:cs="Arial"/>
          <w:sz w:val="22"/>
          <w:szCs w:val="22"/>
        </w:rPr>
        <w:t>roposals should be well located within or very close to town boundaries and be within walking distance of primary services such as school, shop, community facility etc.</w:t>
      </w:r>
    </w:p>
    <w:p w14:paraId="2B19483A" w14:textId="77777777" w:rsidR="00AD692F" w:rsidRPr="00CA6930" w:rsidRDefault="00AD692F" w:rsidP="00CA6930">
      <w:pPr>
        <w:spacing w:line="276" w:lineRule="auto"/>
        <w:rPr>
          <w:rFonts w:ascii="Arial" w:hAnsi="Arial" w:cs="Arial"/>
          <w:sz w:val="22"/>
          <w:szCs w:val="22"/>
        </w:rPr>
      </w:pPr>
    </w:p>
    <w:p w14:paraId="0DC912FF" w14:textId="2CEC91DA" w:rsidR="00B43FA4" w:rsidRPr="00CA6930" w:rsidRDefault="00D66F6A" w:rsidP="00CA6930">
      <w:pPr>
        <w:spacing w:line="276" w:lineRule="auto"/>
        <w:rPr>
          <w:rFonts w:ascii="Arial" w:hAnsi="Arial" w:cs="Arial"/>
          <w:sz w:val="22"/>
          <w:szCs w:val="22"/>
        </w:rPr>
      </w:pPr>
      <w:r w:rsidRPr="00CA6930">
        <w:rPr>
          <w:rFonts w:ascii="Arial" w:hAnsi="Arial" w:cs="Arial"/>
          <w:sz w:val="22"/>
          <w:szCs w:val="22"/>
        </w:rPr>
        <w:t xml:space="preserve">Where a zoning map for the town has been adopted by the Local Authority, the zoning of the site in the relevant Local Area/County Development Plan must be compatible with residential development. </w:t>
      </w:r>
    </w:p>
    <w:p w14:paraId="75EA7F33" w14:textId="77777777" w:rsidR="00B43FA4" w:rsidRPr="00CA6930" w:rsidRDefault="00B43FA4" w:rsidP="00CA6930">
      <w:pPr>
        <w:spacing w:line="276" w:lineRule="auto"/>
        <w:rPr>
          <w:rFonts w:ascii="Arial" w:hAnsi="Arial" w:cs="Arial"/>
          <w:sz w:val="22"/>
          <w:szCs w:val="22"/>
        </w:rPr>
      </w:pPr>
    </w:p>
    <w:p w14:paraId="0CB287CB" w14:textId="77777777" w:rsidR="0099024A" w:rsidRPr="00CA6930" w:rsidRDefault="0099024A" w:rsidP="00CA6930">
      <w:pPr>
        <w:spacing w:line="276" w:lineRule="auto"/>
        <w:rPr>
          <w:rFonts w:ascii="Arial" w:hAnsi="Arial" w:cs="Arial"/>
          <w:sz w:val="22"/>
          <w:szCs w:val="22"/>
        </w:rPr>
      </w:pPr>
    </w:p>
    <w:p w14:paraId="75FB589C" w14:textId="77777777" w:rsidR="00B43FA4" w:rsidRPr="00CA6930" w:rsidRDefault="00B43FA4" w:rsidP="00CA6930">
      <w:pPr>
        <w:pStyle w:val="Heading3"/>
        <w:spacing w:line="276" w:lineRule="auto"/>
        <w:rPr>
          <w:rFonts w:ascii="Arial" w:hAnsi="Arial" w:cs="Arial"/>
          <w:sz w:val="22"/>
          <w:szCs w:val="22"/>
        </w:rPr>
      </w:pPr>
      <w:bookmarkStart w:id="11" w:name="_Toc86343281"/>
      <w:bookmarkStart w:id="12" w:name="_Toc88063363"/>
      <w:r w:rsidRPr="00CA6930">
        <w:rPr>
          <w:rFonts w:ascii="Arial" w:hAnsi="Arial" w:cs="Arial"/>
          <w:sz w:val="22"/>
          <w:szCs w:val="22"/>
        </w:rPr>
        <w:t>2.2</w:t>
      </w:r>
      <w:r w:rsidRPr="00CA6930">
        <w:rPr>
          <w:rFonts w:ascii="Arial" w:hAnsi="Arial" w:cs="Arial"/>
          <w:sz w:val="22"/>
          <w:szCs w:val="22"/>
        </w:rPr>
        <w:tab/>
        <w:t>Submission Process</w:t>
      </w:r>
      <w:bookmarkEnd w:id="11"/>
      <w:bookmarkEnd w:id="12"/>
    </w:p>
    <w:p w14:paraId="468345EB" w14:textId="77777777" w:rsidR="00B43FA4" w:rsidRPr="00CA6930" w:rsidRDefault="00B43FA4" w:rsidP="00CA6930">
      <w:pPr>
        <w:pStyle w:val="Default"/>
        <w:spacing w:after="77" w:line="276" w:lineRule="auto"/>
        <w:jc w:val="both"/>
        <w:rPr>
          <w:i/>
          <w:color w:val="222A35" w:themeColor="text2" w:themeShade="80"/>
          <w:sz w:val="22"/>
          <w:szCs w:val="22"/>
          <w:u w:val="single"/>
        </w:rPr>
      </w:pPr>
    </w:p>
    <w:p w14:paraId="351E1BEB" w14:textId="4A82BE45"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 </w:t>
      </w:r>
      <w:r w:rsidR="00641F62" w:rsidRPr="00CA6930">
        <w:rPr>
          <w:rFonts w:ascii="Arial" w:hAnsi="Arial" w:cs="Arial"/>
          <w:sz w:val="22"/>
          <w:szCs w:val="22"/>
        </w:rPr>
        <w:t>t</w:t>
      </w:r>
      <w:r w:rsidRPr="00CA6930">
        <w:rPr>
          <w:rFonts w:ascii="Arial" w:hAnsi="Arial" w:cs="Arial"/>
          <w:sz w:val="22"/>
          <w:szCs w:val="22"/>
        </w:rPr>
        <w:t>wo</w:t>
      </w:r>
      <w:r w:rsidR="00641F62" w:rsidRPr="00CA6930">
        <w:rPr>
          <w:rFonts w:ascii="Arial" w:hAnsi="Arial" w:cs="Arial"/>
          <w:sz w:val="22"/>
          <w:szCs w:val="22"/>
        </w:rPr>
        <w:t>-s</w:t>
      </w:r>
      <w:r w:rsidRPr="00CA6930">
        <w:rPr>
          <w:rFonts w:ascii="Arial" w:hAnsi="Arial" w:cs="Arial"/>
          <w:sz w:val="22"/>
          <w:szCs w:val="22"/>
        </w:rPr>
        <w:t xml:space="preserve">tage </w:t>
      </w:r>
      <w:r w:rsidR="00641F62" w:rsidRPr="00CA6930">
        <w:rPr>
          <w:rFonts w:ascii="Arial" w:hAnsi="Arial" w:cs="Arial"/>
          <w:sz w:val="22"/>
          <w:szCs w:val="22"/>
        </w:rPr>
        <w:t>p</w:t>
      </w:r>
      <w:r w:rsidRPr="00CA6930">
        <w:rPr>
          <w:rFonts w:ascii="Arial" w:hAnsi="Arial" w:cs="Arial"/>
          <w:sz w:val="22"/>
          <w:szCs w:val="22"/>
        </w:rPr>
        <w:t xml:space="preserve">rocess </w:t>
      </w:r>
      <w:r w:rsidR="00641F62" w:rsidRPr="00CA6930">
        <w:rPr>
          <w:rFonts w:ascii="Arial" w:hAnsi="Arial" w:cs="Arial"/>
          <w:sz w:val="22"/>
          <w:szCs w:val="22"/>
        </w:rPr>
        <w:t>w</w:t>
      </w:r>
      <w:r w:rsidRPr="00CA6930">
        <w:rPr>
          <w:rFonts w:ascii="Arial" w:hAnsi="Arial" w:cs="Arial"/>
          <w:sz w:val="22"/>
          <w:szCs w:val="22"/>
        </w:rPr>
        <w:t xml:space="preserve">ill be </w:t>
      </w:r>
      <w:r w:rsidR="00641F62" w:rsidRPr="00CA6930">
        <w:rPr>
          <w:rFonts w:ascii="Arial" w:hAnsi="Arial" w:cs="Arial"/>
          <w:sz w:val="22"/>
          <w:szCs w:val="22"/>
        </w:rPr>
        <w:t>u</w:t>
      </w:r>
      <w:r w:rsidRPr="00CA6930">
        <w:rPr>
          <w:rFonts w:ascii="Arial" w:hAnsi="Arial" w:cs="Arial"/>
          <w:sz w:val="22"/>
          <w:szCs w:val="22"/>
        </w:rPr>
        <w:t>sed</w:t>
      </w:r>
      <w:r w:rsidR="00B9426A" w:rsidRPr="00CA6930">
        <w:rPr>
          <w:rFonts w:ascii="Arial" w:hAnsi="Arial" w:cs="Arial"/>
          <w:sz w:val="22"/>
          <w:szCs w:val="22"/>
        </w:rPr>
        <w:t xml:space="preserve">. </w:t>
      </w:r>
    </w:p>
    <w:p w14:paraId="50013F33" w14:textId="77777777" w:rsidR="00641F62" w:rsidRPr="00CA6930" w:rsidRDefault="00641F62" w:rsidP="00CA6930">
      <w:pPr>
        <w:spacing w:line="276" w:lineRule="auto"/>
        <w:rPr>
          <w:rFonts w:ascii="Arial" w:hAnsi="Arial" w:cs="Arial"/>
          <w:sz w:val="22"/>
          <w:szCs w:val="22"/>
        </w:rPr>
      </w:pPr>
    </w:p>
    <w:p w14:paraId="7E88B932" w14:textId="0FF351E9" w:rsidR="00F703E3" w:rsidRPr="00CA6930" w:rsidRDefault="00B43FA4" w:rsidP="00CA6930">
      <w:pPr>
        <w:spacing w:line="276" w:lineRule="auto"/>
        <w:rPr>
          <w:rFonts w:ascii="Arial" w:hAnsi="Arial" w:cs="Arial"/>
          <w:bCs/>
          <w:iCs/>
          <w:sz w:val="22"/>
          <w:szCs w:val="22"/>
        </w:rPr>
      </w:pPr>
      <w:r w:rsidRPr="00CA6930">
        <w:rPr>
          <w:rFonts w:ascii="Arial" w:hAnsi="Arial" w:cs="Arial"/>
          <w:b/>
          <w:bCs/>
          <w:iCs/>
          <w:sz w:val="22"/>
          <w:szCs w:val="22"/>
        </w:rPr>
        <w:t xml:space="preserve">In the Stage 1 submission, information in relation to the proposed site location will be sought. </w:t>
      </w:r>
      <w:r w:rsidR="00F703E3" w:rsidRPr="00CA6930">
        <w:rPr>
          <w:rFonts w:ascii="Arial" w:hAnsi="Arial" w:cs="Arial"/>
          <w:b/>
          <w:bCs/>
          <w:iCs/>
          <w:sz w:val="22"/>
          <w:szCs w:val="22"/>
        </w:rPr>
        <w:t>(</w:t>
      </w:r>
      <w:r w:rsidR="00E41139" w:rsidRPr="00CA6930">
        <w:rPr>
          <w:rFonts w:ascii="Arial" w:hAnsi="Arial" w:cs="Arial"/>
          <w:b/>
          <w:bCs/>
          <w:iCs/>
          <w:sz w:val="22"/>
          <w:szCs w:val="22"/>
        </w:rPr>
        <w:t>See</w:t>
      </w:r>
      <w:r w:rsidR="00F703E3" w:rsidRPr="00CA6930">
        <w:rPr>
          <w:rFonts w:ascii="Arial" w:hAnsi="Arial" w:cs="Arial"/>
          <w:b/>
          <w:bCs/>
          <w:iCs/>
          <w:sz w:val="22"/>
          <w:szCs w:val="22"/>
        </w:rPr>
        <w:t xml:space="preserve"> Expressions of Interest Form for further details).</w:t>
      </w:r>
    </w:p>
    <w:p w14:paraId="5A6ECD53" w14:textId="77777777" w:rsidR="00641F62" w:rsidRPr="00CA6930" w:rsidRDefault="00641F62" w:rsidP="00CA6930">
      <w:pPr>
        <w:spacing w:line="276" w:lineRule="auto"/>
        <w:rPr>
          <w:rFonts w:ascii="Arial" w:hAnsi="Arial" w:cs="Arial"/>
          <w:sz w:val="22"/>
          <w:szCs w:val="22"/>
        </w:rPr>
      </w:pPr>
    </w:p>
    <w:p w14:paraId="5F21CE27" w14:textId="66A5946D" w:rsidR="00B43FA4" w:rsidRPr="00CA6930" w:rsidRDefault="00B43FA4" w:rsidP="00CA6930">
      <w:pPr>
        <w:spacing w:line="276" w:lineRule="auto"/>
        <w:rPr>
          <w:rFonts w:ascii="Arial" w:hAnsi="Arial" w:cs="Arial"/>
          <w:b/>
          <w:i/>
          <w:sz w:val="22"/>
          <w:szCs w:val="22"/>
        </w:rPr>
      </w:pPr>
      <w:r w:rsidRPr="00CA6930">
        <w:rPr>
          <w:rFonts w:ascii="Arial" w:hAnsi="Arial" w:cs="Arial"/>
          <w:iCs/>
          <w:sz w:val="22"/>
          <w:szCs w:val="22"/>
        </w:rPr>
        <w:lastRenderedPageBreak/>
        <w:t xml:space="preserve">Only those </w:t>
      </w:r>
      <w:r w:rsidR="00703B7B" w:rsidRPr="00CA6930">
        <w:rPr>
          <w:rFonts w:ascii="Arial" w:hAnsi="Arial" w:cs="Arial"/>
          <w:iCs/>
          <w:sz w:val="22"/>
          <w:szCs w:val="22"/>
        </w:rPr>
        <w:t xml:space="preserve">submissions </w:t>
      </w:r>
      <w:r w:rsidRPr="00CA6930">
        <w:rPr>
          <w:rFonts w:ascii="Arial" w:hAnsi="Arial" w:cs="Arial"/>
          <w:iCs/>
          <w:sz w:val="22"/>
          <w:szCs w:val="22"/>
        </w:rPr>
        <w:t xml:space="preserve">which are deemed acceptable to the </w:t>
      </w:r>
      <w:r w:rsidR="00895AB5" w:rsidRPr="00CA6930">
        <w:rPr>
          <w:rFonts w:ascii="Arial" w:hAnsi="Arial" w:cs="Arial"/>
          <w:iCs/>
          <w:sz w:val="22"/>
          <w:szCs w:val="22"/>
        </w:rPr>
        <w:t>Local Authority</w:t>
      </w:r>
      <w:r w:rsidRPr="00CA6930">
        <w:rPr>
          <w:rFonts w:ascii="Arial" w:hAnsi="Arial" w:cs="Arial"/>
          <w:iCs/>
          <w:sz w:val="22"/>
          <w:szCs w:val="22"/>
        </w:rPr>
        <w:t xml:space="preserve"> following evaluation of Stage 1 submissions will progress to the Stage 2 submission and evaluation process</w:t>
      </w:r>
      <w:r w:rsidRPr="00CA6930">
        <w:rPr>
          <w:rFonts w:ascii="Arial" w:hAnsi="Arial" w:cs="Arial"/>
          <w:i/>
          <w:sz w:val="22"/>
          <w:szCs w:val="22"/>
        </w:rPr>
        <w:t xml:space="preserve"> </w:t>
      </w:r>
    </w:p>
    <w:p w14:paraId="2EEE8875" w14:textId="77777777" w:rsidR="00B43FA4" w:rsidRPr="00CA6930" w:rsidRDefault="00B43FA4" w:rsidP="00CA6930">
      <w:pPr>
        <w:pStyle w:val="Default"/>
        <w:tabs>
          <w:tab w:val="left" w:pos="7449"/>
        </w:tabs>
        <w:spacing w:after="77" w:line="276" w:lineRule="auto"/>
        <w:jc w:val="both"/>
        <w:rPr>
          <w:b/>
          <w:sz w:val="22"/>
          <w:szCs w:val="22"/>
        </w:rPr>
      </w:pPr>
    </w:p>
    <w:p w14:paraId="61DA5D7E" w14:textId="64C4DAD9" w:rsidR="0099024A" w:rsidRDefault="0099024A" w:rsidP="00CA6930">
      <w:pPr>
        <w:pStyle w:val="Heading4"/>
        <w:spacing w:line="276" w:lineRule="auto"/>
        <w:rPr>
          <w:rFonts w:ascii="Arial" w:hAnsi="Arial" w:cs="Arial"/>
          <w:sz w:val="22"/>
          <w:szCs w:val="22"/>
        </w:rPr>
      </w:pPr>
    </w:p>
    <w:p w14:paraId="6F0C923E" w14:textId="04BFFF5C" w:rsidR="005405AE" w:rsidRDefault="005405AE" w:rsidP="005405AE">
      <w:pPr>
        <w:rPr>
          <w:lang w:eastAsia="en-US"/>
        </w:rPr>
      </w:pPr>
    </w:p>
    <w:p w14:paraId="54B41C00" w14:textId="0761E0B0" w:rsidR="005405AE" w:rsidRDefault="005405AE" w:rsidP="005405AE">
      <w:pPr>
        <w:rPr>
          <w:lang w:eastAsia="en-US"/>
        </w:rPr>
      </w:pPr>
    </w:p>
    <w:p w14:paraId="50F57151" w14:textId="4A81A296" w:rsidR="005405AE" w:rsidRDefault="005405AE" w:rsidP="005405AE">
      <w:pPr>
        <w:rPr>
          <w:lang w:eastAsia="en-US"/>
        </w:rPr>
      </w:pPr>
    </w:p>
    <w:p w14:paraId="6A47396B" w14:textId="77777777" w:rsidR="005405AE" w:rsidRPr="005405AE" w:rsidRDefault="005405AE" w:rsidP="005405AE">
      <w:pPr>
        <w:rPr>
          <w:lang w:eastAsia="en-US"/>
        </w:rPr>
      </w:pPr>
    </w:p>
    <w:p w14:paraId="62AB4BC9" w14:textId="3BDC1ECC" w:rsidR="00B43FA4" w:rsidRPr="00CA6930" w:rsidRDefault="00B43FA4" w:rsidP="00CA6930">
      <w:pPr>
        <w:pStyle w:val="Heading4"/>
        <w:spacing w:line="276" w:lineRule="auto"/>
        <w:rPr>
          <w:rFonts w:ascii="Arial" w:hAnsi="Arial" w:cs="Arial"/>
          <w:sz w:val="22"/>
          <w:szCs w:val="22"/>
        </w:rPr>
      </w:pPr>
      <w:bookmarkStart w:id="13" w:name="_Toc88063364"/>
      <w:r w:rsidRPr="00CA6930">
        <w:rPr>
          <w:rFonts w:ascii="Arial" w:hAnsi="Arial" w:cs="Arial"/>
          <w:sz w:val="22"/>
          <w:szCs w:val="22"/>
        </w:rPr>
        <w:t xml:space="preserve">2.2.1 </w:t>
      </w:r>
      <w:r w:rsidRPr="00CA6930">
        <w:rPr>
          <w:rFonts w:ascii="Arial" w:hAnsi="Arial" w:cs="Arial"/>
          <w:sz w:val="22"/>
          <w:szCs w:val="22"/>
        </w:rPr>
        <w:tab/>
        <w:t>Stage 1 Submission</w:t>
      </w:r>
      <w:bookmarkEnd w:id="13"/>
      <w:r w:rsidRPr="00CA6930">
        <w:rPr>
          <w:rFonts w:ascii="Arial" w:hAnsi="Arial" w:cs="Arial"/>
          <w:sz w:val="22"/>
          <w:szCs w:val="22"/>
        </w:rPr>
        <w:t xml:space="preserve"> </w:t>
      </w:r>
    </w:p>
    <w:p w14:paraId="1614F679" w14:textId="77777777" w:rsidR="002215C7" w:rsidRPr="00CA6930" w:rsidRDefault="002215C7" w:rsidP="00CA6930">
      <w:pPr>
        <w:spacing w:line="276" w:lineRule="auto"/>
        <w:rPr>
          <w:rFonts w:ascii="Arial" w:hAnsi="Arial" w:cs="Arial"/>
          <w:sz w:val="22"/>
          <w:szCs w:val="22"/>
        </w:rPr>
      </w:pPr>
    </w:p>
    <w:p w14:paraId="608754DB" w14:textId="05F1F1AA" w:rsidR="00B43FA4" w:rsidRPr="00CA6930" w:rsidRDefault="006D74D7" w:rsidP="00CA6930">
      <w:pPr>
        <w:spacing w:line="276" w:lineRule="auto"/>
        <w:rPr>
          <w:rFonts w:ascii="Arial" w:hAnsi="Arial" w:cs="Arial"/>
          <w:sz w:val="22"/>
          <w:szCs w:val="22"/>
        </w:rPr>
      </w:pPr>
      <w:r w:rsidRPr="00CA6930">
        <w:rPr>
          <w:rFonts w:ascii="Arial" w:hAnsi="Arial" w:cs="Arial"/>
          <w:sz w:val="22"/>
          <w:szCs w:val="22"/>
        </w:rPr>
        <w:t xml:space="preserve">At Stage 1, the </w:t>
      </w:r>
      <w:r w:rsidR="00B43FA4" w:rsidRPr="00CA6930">
        <w:rPr>
          <w:rFonts w:ascii="Arial" w:hAnsi="Arial" w:cs="Arial"/>
          <w:sz w:val="22"/>
          <w:szCs w:val="22"/>
        </w:rPr>
        <w:t>following information must be submitted</w:t>
      </w:r>
      <w:r w:rsidR="00B47489" w:rsidRPr="00CA6930">
        <w:rPr>
          <w:rFonts w:ascii="Arial" w:hAnsi="Arial" w:cs="Arial"/>
          <w:sz w:val="22"/>
          <w:szCs w:val="22"/>
        </w:rPr>
        <w:t>;</w:t>
      </w:r>
      <w:r w:rsidRPr="00CA6930">
        <w:rPr>
          <w:rFonts w:ascii="Arial" w:hAnsi="Arial" w:cs="Arial"/>
          <w:sz w:val="22"/>
          <w:szCs w:val="22"/>
        </w:rPr>
        <w:t xml:space="preserve">  </w:t>
      </w:r>
    </w:p>
    <w:p w14:paraId="170B464C" w14:textId="77777777" w:rsidR="00641F62" w:rsidRPr="00CA6930" w:rsidRDefault="00641F62" w:rsidP="00CA6930">
      <w:pPr>
        <w:spacing w:line="276" w:lineRule="auto"/>
        <w:rPr>
          <w:rFonts w:ascii="Arial" w:hAnsi="Arial" w:cs="Arial"/>
          <w:sz w:val="22"/>
          <w:szCs w:val="22"/>
        </w:rPr>
      </w:pPr>
    </w:p>
    <w:p w14:paraId="21D2E84C" w14:textId="394C3B13" w:rsidR="00B43FA4" w:rsidRPr="00CA6930" w:rsidRDefault="00B43FA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Details of individual or company submitting the proposal, including a contact</w:t>
      </w:r>
      <w:r w:rsidR="001E1EF4" w:rsidRPr="00CA6930">
        <w:rPr>
          <w:rFonts w:ascii="Arial" w:hAnsi="Arial" w:cs="Arial"/>
          <w:sz w:val="22"/>
          <w:szCs w:val="22"/>
        </w:rPr>
        <w:t>, n</w:t>
      </w:r>
      <w:r w:rsidRPr="00CA6930">
        <w:rPr>
          <w:rFonts w:ascii="Arial" w:hAnsi="Arial" w:cs="Arial"/>
          <w:sz w:val="22"/>
          <w:szCs w:val="22"/>
        </w:rPr>
        <w:t>ame, address, phone number and email</w:t>
      </w:r>
      <w:r w:rsidR="00B47489" w:rsidRPr="00CA6930">
        <w:rPr>
          <w:rFonts w:ascii="Arial" w:hAnsi="Arial" w:cs="Arial"/>
          <w:sz w:val="22"/>
          <w:szCs w:val="22"/>
        </w:rPr>
        <w:t>;</w:t>
      </w:r>
      <w:r w:rsidRPr="00CA6930">
        <w:rPr>
          <w:rFonts w:ascii="Arial" w:hAnsi="Arial" w:cs="Arial"/>
          <w:sz w:val="22"/>
          <w:szCs w:val="22"/>
        </w:rPr>
        <w:t xml:space="preserve"> </w:t>
      </w:r>
    </w:p>
    <w:p w14:paraId="6C16AD0F" w14:textId="0F2DB6A1" w:rsidR="00722E24" w:rsidRPr="00CA6930" w:rsidRDefault="00722E2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Site details</w:t>
      </w:r>
      <w:r w:rsidR="00E006AF" w:rsidRPr="00CA6930">
        <w:rPr>
          <w:rFonts w:ascii="Arial" w:hAnsi="Arial" w:cs="Arial"/>
          <w:sz w:val="22"/>
          <w:szCs w:val="22"/>
        </w:rPr>
        <w:t xml:space="preserve">, (planning reference number, Irish Water reference number, </w:t>
      </w:r>
      <w:r w:rsidR="00FC4122" w:rsidRPr="00CA6930">
        <w:rPr>
          <w:rFonts w:ascii="Arial" w:hAnsi="Arial" w:cs="Arial"/>
          <w:sz w:val="22"/>
          <w:szCs w:val="22"/>
        </w:rPr>
        <w:t>r</w:t>
      </w:r>
      <w:r w:rsidR="0002707B" w:rsidRPr="00CA6930">
        <w:rPr>
          <w:rFonts w:ascii="Arial" w:hAnsi="Arial" w:cs="Arial"/>
          <w:sz w:val="22"/>
          <w:szCs w:val="22"/>
        </w:rPr>
        <w:t xml:space="preserve">esidential </w:t>
      </w:r>
      <w:r w:rsidR="000141E5" w:rsidRPr="00CA6930">
        <w:rPr>
          <w:rFonts w:ascii="Arial" w:hAnsi="Arial" w:cs="Arial"/>
          <w:sz w:val="22"/>
          <w:szCs w:val="22"/>
        </w:rPr>
        <w:t>density</w:t>
      </w:r>
      <w:r w:rsidR="0002707B" w:rsidRPr="00CA6930">
        <w:rPr>
          <w:rFonts w:ascii="Arial" w:hAnsi="Arial" w:cs="Arial"/>
          <w:sz w:val="22"/>
          <w:szCs w:val="22"/>
        </w:rPr>
        <w:t>)</w:t>
      </w:r>
      <w:r w:rsidR="00B47489" w:rsidRPr="00CA6930">
        <w:rPr>
          <w:rFonts w:ascii="Arial" w:hAnsi="Arial" w:cs="Arial"/>
          <w:sz w:val="22"/>
          <w:szCs w:val="22"/>
        </w:rPr>
        <w:t>;</w:t>
      </w:r>
    </w:p>
    <w:p w14:paraId="7ACD2865" w14:textId="713B93F4" w:rsidR="0002707B" w:rsidRPr="00CA6930" w:rsidRDefault="00DE233B"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Details</w:t>
      </w:r>
      <w:r w:rsidR="0002707B" w:rsidRPr="00CA6930">
        <w:rPr>
          <w:rFonts w:ascii="Arial" w:hAnsi="Arial" w:cs="Arial"/>
          <w:sz w:val="22"/>
          <w:szCs w:val="22"/>
        </w:rPr>
        <w:t xml:space="preserve"> of planned </w:t>
      </w:r>
      <w:r w:rsidR="00061087" w:rsidRPr="00CA6930">
        <w:rPr>
          <w:rFonts w:ascii="Arial" w:hAnsi="Arial" w:cs="Arial"/>
          <w:sz w:val="22"/>
          <w:szCs w:val="22"/>
        </w:rPr>
        <w:t>development</w:t>
      </w:r>
      <w:r w:rsidR="00FA7268" w:rsidRPr="00CA6930">
        <w:rPr>
          <w:rFonts w:ascii="Arial" w:hAnsi="Arial" w:cs="Arial"/>
          <w:sz w:val="22"/>
          <w:szCs w:val="22"/>
        </w:rPr>
        <w:t>;</w:t>
      </w:r>
    </w:p>
    <w:p w14:paraId="4A83DF0E" w14:textId="27009239" w:rsidR="004841FF" w:rsidRPr="00CA6930" w:rsidRDefault="004A0E94"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 xml:space="preserve">Indicative </w:t>
      </w:r>
      <w:r w:rsidR="00F33D98" w:rsidRPr="00CA6930">
        <w:rPr>
          <w:rFonts w:ascii="Arial" w:hAnsi="Arial" w:cs="Arial"/>
          <w:sz w:val="22"/>
          <w:szCs w:val="22"/>
        </w:rPr>
        <w:t xml:space="preserve">all-in costs </w:t>
      </w:r>
      <w:r w:rsidR="00001F43" w:rsidRPr="00CA6930">
        <w:rPr>
          <w:rFonts w:ascii="Arial" w:hAnsi="Arial" w:cs="Arial"/>
          <w:sz w:val="22"/>
          <w:szCs w:val="22"/>
        </w:rPr>
        <w:t>pricing schedule</w:t>
      </w:r>
      <w:bookmarkStart w:id="14" w:name="_Ref87342956"/>
      <w:r w:rsidR="0004527F" w:rsidRPr="00CA6930">
        <w:rPr>
          <w:rFonts w:ascii="Arial" w:hAnsi="Arial" w:cs="Arial"/>
          <w:sz w:val="22"/>
          <w:szCs w:val="22"/>
        </w:rPr>
        <w:t>;</w:t>
      </w:r>
      <w:r w:rsidR="00915F23" w:rsidRPr="00CA6930">
        <w:rPr>
          <w:rStyle w:val="FootnoteReference"/>
          <w:rFonts w:ascii="Arial" w:hAnsi="Arial" w:cs="Arial"/>
          <w:sz w:val="22"/>
          <w:szCs w:val="22"/>
        </w:rPr>
        <w:footnoteReference w:id="4"/>
      </w:r>
      <w:bookmarkEnd w:id="14"/>
    </w:p>
    <w:p w14:paraId="16F605CD" w14:textId="1320EDAE" w:rsidR="0024567B" w:rsidRPr="00CA6930" w:rsidRDefault="004841FF" w:rsidP="00CA6930">
      <w:pPr>
        <w:pStyle w:val="ListParagraph"/>
        <w:numPr>
          <w:ilvl w:val="0"/>
          <w:numId w:val="22"/>
        </w:numPr>
        <w:spacing w:line="276" w:lineRule="auto"/>
        <w:rPr>
          <w:rFonts w:ascii="Arial" w:hAnsi="Arial" w:cs="Arial"/>
          <w:sz w:val="22"/>
          <w:szCs w:val="22"/>
        </w:rPr>
      </w:pPr>
      <w:r w:rsidRPr="00CA6930">
        <w:rPr>
          <w:rFonts w:ascii="Arial" w:hAnsi="Arial" w:cs="Arial"/>
          <w:sz w:val="22"/>
          <w:szCs w:val="22"/>
        </w:rPr>
        <w:t>Site location map showing the proposed site and proximity of local services and amenities;</w:t>
      </w:r>
    </w:p>
    <w:p w14:paraId="64D8011B" w14:textId="77777777" w:rsidR="00B43FA4" w:rsidRPr="00CA6930" w:rsidRDefault="00B43FA4" w:rsidP="00CA6930">
      <w:pPr>
        <w:pStyle w:val="Default"/>
        <w:spacing w:after="77" w:line="276" w:lineRule="auto"/>
        <w:jc w:val="both"/>
        <w:rPr>
          <w:b/>
          <w:color w:val="222A35" w:themeColor="text2" w:themeShade="80"/>
          <w:sz w:val="22"/>
          <w:szCs w:val="22"/>
        </w:rPr>
      </w:pPr>
    </w:p>
    <w:p w14:paraId="4DAF6078" w14:textId="455E970C" w:rsidR="00B43FA4" w:rsidRPr="00CA6930" w:rsidRDefault="00B43FA4" w:rsidP="00CA6930">
      <w:pPr>
        <w:spacing w:line="276" w:lineRule="auto"/>
        <w:rPr>
          <w:rFonts w:ascii="Arial" w:hAnsi="Arial" w:cs="Arial"/>
          <w:b/>
          <w:bCs/>
          <w:sz w:val="22"/>
          <w:szCs w:val="22"/>
        </w:rPr>
      </w:pPr>
      <w:r w:rsidRPr="00CA6930">
        <w:rPr>
          <w:rFonts w:ascii="Arial" w:hAnsi="Arial" w:cs="Arial"/>
          <w:b/>
          <w:bCs/>
          <w:sz w:val="22"/>
          <w:szCs w:val="22"/>
        </w:rPr>
        <w:t>Evaluation of Stage 1 Submissions</w:t>
      </w:r>
    </w:p>
    <w:p w14:paraId="06CDBD13" w14:textId="77777777" w:rsidR="00641F62" w:rsidRPr="00CA6930" w:rsidRDefault="00641F62" w:rsidP="00CA6930">
      <w:pPr>
        <w:pStyle w:val="Default"/>
        <w:spacing w:after="77" w:line="276" w:lineRule="auto"/>
        <w:jc w:val="both"/>
        <w:rPr>
          <w:sz w:val="22"/>
          <w:szCs w:val="22"/>
        </w:rPr>
      </w:pPr>
    </w:p>
    <w:p w14:paraId="5C14B881" w14:textId="07D01DC6"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All Stage 1 submissions will be evaluated against Pass/Fail criteria. Only those submissions which achieve a Pass mark against all criteria, will move to the second stage of the process. </w:t>
      </w:r>
    </w:p>
    <w:p w14:paraId="74F4247F" w14:textId="77777777" w:rsidR="00641F62" w:rsidRPr="00CA6930" w:rsidRDefault="00641F62" w:rsidP="00CA6930">
      <w:pPr>
        <w:spacing w:line="276" w:lineRule="auto"/>
        <w:rPr>
          <w:rFonts w:ascii="Arial" w:hAnsi="Arial" w:cs="Arial"/>
          <w:sz w:val="22"/>
          <w:szCs w:val="22"/>
        </w:rPr>
      </w:pPr>
    </w:p>
    <w:p w14:paraId="21F70FB2" w14:textId="5612DB71"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The Pass/Fail criteria are as follows:</w:t>
      </w:r>
    </w:p>
    <w:p w14:paraId="4FB16249" w14:textId="77777777" w:rsidR="00852764" w:rsidRPr="00CA6930" w:rsidRDefault="00852764" w:rsidP="00CA6930">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680"/>
        <w:gridCol w:w="6447"/>
        <w:gridCol w:w="1596"/>
      </w:tblGrid>
      <w:tr w:rsidR="00641F62" w:rsidRPr="00CA6930" w14:paraId="788D5EB6" w14:textId="77777777" w:rsidTr="00852764">
        <w:trPr>
          <w:trHeight w:val="726"/>
        </w:trPr>
        <w:tc>
          <w:tcPr>
            <w:tcW w:w="680" w:type="dxa"/>
            <w:vAlign w:val="center"/>
          </w:tcPr>
          <w:p w14:paraId="01648C57" w14:textId="4749E4CE" w:rsidR="00641F62" w:rsidRPr="00CA6930" w:rsidRDefault="00641F62" w:rsidP="00CA6930">
            <w:pPr>
              <w:spacing w:line="276" w:lineRule="auto"/>
              <w:rPr>
                <w:rFonts w:ascii="Arial" w:hAnsi="Arial" w:cs="Arial"/>
                <w:sz w:val="22"/>
                <w:szCs w:val="22"/>
              </w:rPr>
            </w:pPr>
            <w:r w:rsidRPr="00CA6930">
              <w:rPr>
                <w:rFonts w:ascii="Arial" w:hAnsi="Arial" w:cs="Arial"/>
                <w:sz w:val="22"/>
                <w:szCs w:val="22"/>
              </w:rPr>
              <w:t>1</w:t>
            </w:r>
          </w:p>
        </w:tc>
        <w:tc>
          <w:tcPr>
            <w:tcW w:w="6447" w:type="dxa"/>
            <w:vAlign w:val="center"/>
          </w:tcPr>
          <w:p w14:paraId="096884A1" w14:textId="07C4ACB8" w:rsidR="00641F62" w:rsidRPr="00CA6930" w:rsidRDefault="00641F62" w:rsidP="00CA6930">
            <w:pPr>
              <w:spacing w:line="276" w:lineRule="auto"/>
              <w:rPr>
                <w:rFonts w:ascii="Arial" w:hAnsi="Arial" w:cs="Arial"/>
                <w:sz w:val="22"/>
                <w:szCs w:val="22"/>
              </w:rPr>
            </w:pPr>
            <w:r w:rsidRPr="00CA6930">
              <w:rPr>
                <w:rFonts w:ascii="Arial" w:hAnsi="Arial" w:cs="Arial"/>
                <w:sz w:val="22"/>
                <w:szCs w:val="22"/>
              </w:rPr>
              <w:t>Location and suitability of the site</w:t>
            </w:r>
            <w:r w:rsidR="00CF3F0D" w:rsidRPr="00CA6930">
              <w:rPr>
                <w:rFonts w:ascii="Arial" w:hAnsi="Arial" w:cs="Arial"/>
                <w:sz w:val="22"/>
                <w:szCs w:val="22"/>
              </w:rPr>
              <w:t>,</w:t>
            </w:r>
          </w:p>
        </w:tc>
        <w:tc>
          <w:tcPr>
            <w:tcW w:w="1596" w:type="dxa"/>
            <w:vAlign w:val="center"/>
          </w:tcPr>
          <w:p w14:paraId="09B4CF9D" w14:textId="5C472629" w:rsidR="00641F62" w:rsidRPr="00CA6930" w:rsidRDefault="00641F62" w:rsidP="00CA6930">
            <w:pPr>
              <w:spacing w:line="276" w:lineRule="auto"/>
              <w:rPr>
                <w:rFonts w:ascii="Arial" w:hAnsi="Arial" w:cs="Arial"/>
                <w:sz w:val="22"/>
                <w:szCs w:val="22"/>
              </w:rPr>
            </w:pPr>
            <w:r w:rsidRPr="00CA6930">
              <w:rPr>
                <w:rFonts w:ascii="Arial" w:hAnsi="Arial" w:cs="Arial"/>
                <w:sz w:val="22"/>
                <w:szCs w:val="22"/>
              </w:rPr>
              <w:t>Pass/fail</w:t>
            </w:r>
          </w:p>
        </w:tc>
      </w:tr>
      <w:tr w:rsidR="00641F62" w:rsidRPr="00CA6930" w14:paraId="350DE31B" w14:textId="77777777" w:rsidTr="00852764">
        <w:trPr>
          <w:trHeight w:val="726"/>
        </w:trPr>
        <w:tc>
          <w:tcPr>
            <w:tcW w:w="680" w:type="dxa"/>
            <w:vAlign w:val="center"/>
          </w:tcPr>
          <w:p w14:paraId="627755CD" w14:textId="308FCC49" w:rsidR="00641F62" w:rsidRPr="00CA6930" w:rsidRDefault="00641F62" w:rsidP="00CA6930">
            <w:pPr>
              <w:spacing w:line="276" w:lineRule="auto"/>
              <w:rPr>
                <w:rFonts w:ascii="Arial" w:hAnsi="Arial" w:cs="Arial"/>
                <w:sz w:val="22"/>
                <w:szCs w:val="22"/>
              </w:rPr>
            </w:pPr>
            <w:r w:rsidRPr="00CA6930">
              <w:rPr>
                <w:rFonts w:ascii="Arial" w:hAnsi="Arial" w:cs="Arial"/>
                <w:sz w:val="22"/>
                <w:szCs w:val="22"/>
              </w:rPr>
              <w:t>2</w:t>
            </w:r>
          </w:p>
        </w:tc>
        <w:tc>
          <w:tcPr>
            <w:tcW w:w="6447" w:type="dxa"/>
            <w:vAlign w:val="center"/>
          </w:tcPr>
          <w:p w14:paraId="17238E70" w14:textId="54CD7B73" w:rsidR="00641F62" w:rsidRPr="00CA6930" w:rsidRDefault="00641F62" w:rsidP="00CA6930">
            <w:pPr>
              <w:spacing w:line="276" w:lineRule="auto"/>
              <w:rPr>
                <w:rFonts w:ascii="Arial" w:hAnsi="Arial" w:cs="Arial"/>
                <w:sz w:val="22"/>
                <w:szCs w:val="22"/>
              </w:rPr>
            </w:pPr>
            <w:r w:rsidRPr="00CA6930">
              <w:rPr>
                <w:rFonts w:ascii="Arial" w:hAnsi="Arial" w:cs="Arial"/>
                <w:sz w:val="22"/>
                <w:szCs w:val="22"/>
              </w:rPr>
              <w:t>Land zoning status (if applicable). Zoning must be compatible with residential development</w:t>
            </w:r>
            <w:r w:rsidR="0012289D" w:rsidRPr="00CA6930">
              <w:rPr>
                <w:rFonts w:ascii="Arial" w:hAnsi="Arial" w:cs="Arial"/>
                <w:sz w:val="22"/>
                <w:szCs w:val="22"/>
              </w:rPr>
              <w:t>;</w:t>
            </w:r>
          </w:p>
        </w:tc>
        <w:tc>
          <w:tcPr>
            <w:tcW w:w="1596" w:type="dxa"/>
            <w:vAlign w:val="center"/>
          </w:tcPr>
          <w:p w14:paraId="4A1C26EB" w14:textId="465CDD5B" w:rsidR="00641F62" w:rsidRPr="00CA6930" w:rsidRDefault="00641F62" w:rsidP="00CA6930">
            <w:pPr>
              <w:spacing w:line="276" w:lineRule="auto"/>
              <w:rPr>
                <w:rFonts w:ascii="Arial" w:hAnsi="Arial" w:cs="Arial"/>
                <w:sz w:val="22"/>
                <w:szCs w:val="22"/>
              </w:rPr>
            </w:pPr>
            <w:r w:rsidRPr="00CA6930">
              <w:rPr>
                <w:rFonts w:ascii="Arial" w:hAnsi="Arial" w:cs="Arial"/>
                <w:sz w:val="22"/>
                <w:szCs w:val="22"/>
              </w:rPr>
              <w:t>Pass/fail</w:t>
            </w:r>
          </w:p>
        </w:tc>
      </w:tr>
      <w:tr w:rsidR="00641F62" w:rsidRPr="00CA6930" w14:paraId="715F3F26" w14:textId="77777777" w:rsidTr="00852764">
        <w:trPr>
          <w:trHeight w:val="726"/>
        </w:trPr>
        <w:tc>
          <w:tcPr>
            <w:tcW w:w="680" w:type="dxa"/>
            <w:vAlign w:val="center"/>
          </w:tcPr>
          <w:p w14:paraId="0E213ECF" w14:textId="6F5519AF" w:rsidR="00641F62" w:rsidRPr="00CA6930" w:rsidRDefault="00F2677C" w:rsidP="00CA6930">
            <w:pPr>
              <w:spacing w:line="276" w:lineRule="auto"/>
              <w:rPr>
                <w:rFonts w:ascii="Arial" w:hAnsi="Arial" w:cs="Arial"/>
                <w:sz w:val="22"/>
                <w:szCs w:val="22"/>
              </w:rPr>
            </w:pPr>
            <w:r w:rsidRPr="00CA6930">
              <w:rPr>
                <w:rFonts w:ascii="Arial" w:hAnsi="Arial" w:cs="Arial"/>
                <w:sz w:val="22"/>
                <w:szCs w:val="22"/>
              </w:rPr>
              <w:t>3</w:t>
            </w:r>
          </w:p>
        </w:tc>
        <w:tc>
          <w:tcPr>
            <w:tcW w:w="6447" w:type="dxa"/>
            <w:vAlign w:val="center"/>
          </w:tcPr>
          <w:p w14:paraId="2C734CC3" w14:textId="2EC73A2C" w:rsidR="00641F62" w:rsidRPr="00CA6930" w:rsidRDefault="00641F62" w:rsidP="00CA6930">
            <w:pPr>
              <w:spacing w:line="276" w:lineRule="auto"/>
              <w:rPr>
                <w:rFonts w:ascii="Arial" w:hAnsi="Arial" w:cs="Arial"/>
                <w:sz w:val="22"/>
                <w:szCs w:val="22"/>
              </w:rPr>
            </w:pPr>
            <w:r w:rsidRPr="00CA6930">
              <w:rPr>
                <w:rFonts w:ascii="Arial" w:hAnsi="Arial" w:cs="Arial"/>
                <w:sz w:val="22"/>
                <w:szCs w:val="22"/>
              </w:rPr>
              <w:t>All necessary utilities available, e.g. water, sewage, electricity, communication</w:t>
            </w:r>
            <w:r w:rsidR="0012289D" w:rsidRPr="00CA6930">
              <w:rPr>
                <w:rFonts w:ascii="Arial" w:hAnsi="Arial" w:cs="Arial"/>
                <w:sz w:val="22"/>
                <w:szCs w:val="22"/>
              </w:rPr>
              <w:t>s;</w:t>
            </w:r>
            <w:r w:rsidRPr="00CA6930">
              <w:rPr>
                <w:rFonts w:ascii="Arial" w:hAnsi="Arial" w:cs="Arial"/>
                <w:sz w:val="22"/>
                <w:szCs w:val="22"/>
              </w:rPr>
              <w:t xml:space="preserve"> etc.</w:t>
            </w:r>
          </w:p>
        </w:tc>
        <w:tc>
          <w:tcPr>
            <w:tcW w:w="1596" w:type="dxa"/>
            <w:vAlign w:val="center"/>
          </w:tcPr>
          <w:p w14:paraId="5E54AC34" w14:textId="2BEC56C0" w:rsidR="00641F62" w:rsidRPr="00CA6930" w:rsidRDefault="00641F62" w:rsidP="00CA6930">
            <w:pPr>
              <w:spacing w:line="276" w:lineRule="auto"/>
              <w:rPr>
                <w:rFonts w:ascii="Arial" w:hAnsi="Arial" w:cs="Arial"/>
                <w:sz w:val="22"/>
                <w:szCs w:val="22"/>
              </w:rPr>
            </w:pPr>
            <w:r w:rsidRPr="00CA6930">
              <w:rPr>
                <w:rFonts w:ascii="Arial" w:hAnsi="Arial" w:cs="Arial"/>
                <w:sz w:val="22"/>
                <w:szCs w:val="22"/>
              </w:rPr>
              <w:t>Pass/fail</w:t>
            </w:r>
          </w:p>
        </w:tc>
      </w:tr>
      <w:tr w:rsidR="00724AC0" w:rsidRPr="00CA6930" w14:paraId="6470D506" w14:textId="77777777" w:rsidTr="00852764">
        <w:trPr>
          <w:trHeight w:val="726"/>
        </w:trPr>
        <w:tc>
          <w:tcPr>
            <w:tcW w:w="680" w:type="dxa"/>
            <w:vAlign w:val="center"/>
          </w:tcPr>
          <w:p w14:paraId="00A269A1" w14:textId="2C0F7D88" w:rsidR="00724AC0" w:rsidRPr="00CA6930" w:rsidRDefault="00F2677C" w:rsidP="00CA6930">
            <w:pPr>
              <w:spacing w:line="276" w:lineRule="auto"/>
              <w:rPr>
                <w:rFonts w:ascii="Arial" w:hAnsi="Arial" w:cs="Arial"/>
                <w:sz w:val="22"/>
                <w:szCs w:val="22"/>
              </w:rPr>
            </w:pPr>
            <w:r w:rsidRPr="00CA6930">
              <w:rPr>
                <w:rFonts w:ascii="Arial" w:hAnsi="Arial" w:cs="Arial"/>
                <w:sz w:val="22"/>
                <w:szCs w:val="22"/>
              </w:rPr>
              <w:t>4</w:t>
            </w:r>
          </w:p>
        </w:tc>
        <w:tc>
          <w:tcPr>
            <w:tcW w:w="6447" w:type="dxa"/>
            <w:vAlign w:val="center"/>
          </w:tcPr>
          <w:p w14:paraId="71BAECE6" w14:textId="52005FA2" w:rsidR="00724AC0" w:rsidRPr="00CA6930" w:rsidRDefault="007C165E" w:rsidP="00CA6930">
            <w:pPr>
              <w:spacing w:line="276" w:lineRule="auto"/>
              <w:rPr>
                <w:rFonts w:ascii="Arial" w:hAnsi="Arial" w:cs="Arial"/>
                <w:sz w:val="22"/>
                <w:szCs w:val="22"/>
              </w:rPr>
            </w:pPr>
            <w:r w:rsidRPr="00CA6930">
              <w:rPr>
                <w:rFonts w:ascii="Arial" w:hAnsi="Arial" w:cs="Arial"/>
                <w:sz w:val="22"/>
                <w:szCs w:val="22"/>
              </w:rPr>
              <w:t xml:space="preserve">Initial indicative assessment of </w:t>
            </w:r>
            <w:r w:rsidR="00724AC0" w:rsidRPr="00CA6930">
              <w:rPr>
                <w:rFonts w:ascii="Arial" w:hAnsi="Arial" w:cs="Arial"/>
                <w:sz w:val="22"/>
                <w:szCs w:val="22"/>
              </w:rPr>
              <w:t>Affordability Gain</w:t>
            </w:r>
            <w:bookmarkStart w:id="15" w:name="_Ref87428218"/>
            <w:r w:rsidR="00217783" w:rsidRPr="00CA6930">
              <w:rPr>
                <w:rStyle w:val="FootnoteReference"/>
                <w:rFonts w:ascii="Arial" w:hAnsi="Arial" w:cs="Arial"/>
                <w:sz w:val="22"/>
                <w:szCs w:val="22"/>
              </w:rPr>
              <w:footnoteReference w:id="5"/>
            </w:r>
            <w:bookmarkEnd w:id="15"/>
            <w:r w:rsidR="00724AC0" w:rsidRPr="00CA6930">
              <w:rPr>
                <w:rFonts w:ascii="Arial" w:hAnsi="Arial" w:cs="Arial"/>
                <w:sz w:val="22"/>
                <w:szCs w:val="22"/>
              </w:rPr>
              <w:t xml:space="preserve"> (only applicable on affordable or mixed tenure sites)</w:t>
            </w:r>
            <w:r w:rsidR="0012289D" w:rsidRPr="00CA6930">
              <w:rPr>
                <w:rFonts w:ascii="Arial" w:hAnsi="Arial" w:cs="Arial"/>
                <w:sz w:val="22"/>
                <w:szCs w:val="22"/>
              </w:rPr>
              <w:t>;</w:t>
            </w:r>
          </w:p>
        </w:tc>
        <w:tc>
          <w:tcPr>
            <w:tcW w:w="1596" w:type="dxa"/>
            <w:vAlign w:val="center"/>
          </w:tcPr>
          <w:p w14:paraId="2B1F223A" w14:textId="7E02D005" w:rsidR="00724AC0" w:rsidRPr="00CA6930" w:rsidRDefault="00724AC0" w:rsidP="00CA6930">
            <w:pPr>
              <w:spacing w:line="276" w:lineRule="auto"/>
              <w:rPr>
                <w:rFonts w:ascii="Arial" w:hAnsi="Arial" w:cs="Arial"/>
                <w:sz w:val="22"/>
                <w:szCs w:val="22"/>
              </w:rPr>
            </w:pPr>
            <w:r w:rsidRPr="00CA6930">
              <w:rPr>
                <w:rFonts w:ascii="Arial" w:hAnsi="Arial" w:cs="Arial"/>
                <w:sz w:val="22"/>
                <w:szCs w:val="22"/>
              </w:rPr>
              <w:t>Pass/fail</w:t>
            </w:r>
          </w:p>
        </w:tc>
      </w:tr>
    </w:tbl>
    <w:p w14:paraId="0025F133" w14:textId="77777777" w:rsidR="007D127F" w:rsidRPr="00CA6930" w:rsidRDefault="007D127F" w:rsidP="00CA6930">
      <w:pPr>
        <w:spacing w:line="276" w:lineRule="auto"/>
        <w:rPr>
          <w:rFonts w:ascii="Arial" w:hAnsi="Arial" w:cs="Arial"/>
          <w:sz w:val="22"/>
          <w:szCs w:val="22"/>
        </w:rPr>
      </w:pPr>
    </w:p>
    <w:p w14:paraId="4FA5E23B" w14:textId="733D0D5A" w:rsidR="00B43FA4" w:rsidRPr="00CA6930" w:rsidRDefault="00B43FA4" w:rsidP="00CA6930">
      <w:pPr>
        <w:spacing w:line="276" w:lineRule="auto"/>
        <w:rPr>
          <w:rFonts w:ascii="Arial" w:hAnsi="Arial" w:cs="Arial"/>
          <w:sz w:val="22"/>
          <w:szCs w:val="22"/>
        </w:rPr>
      </w:pPr>
      <w:bookmarkStart w:id="16" w:name="_Hlk505357024"/>
      <w:r w:rsidRPr="00CA6930">
        <w:rPr>
          <w:rFonts w:ascii="Arial" w:hAnsi="Arial" w:cs="Arial"/>
          <w:sz w:val="22"/>
          <w:szCs w:val="22"/>
        </w:rPr>
        <w:t xml:space="preserve">Following evaluation of Stage 1 submissions, proposals which are deemed acceptable will move to Stage 2 in the process. </w:t>
      </w:r>
    </w:p>
    <w:p w14:paraId="353D9319" w14:textId="77777777" w:rsidR="00536C2A" w:rsidRPr="00CA6930" w:rsidRDefault="00536C2A" w:rsidP="00CA6930">
      <w:pPr>
        <w:spacing w:line="276" w:lineRule="auto"/>
        <w:rPr>
          <w:rFonts w:ascii="Arial" w:hAnsi="Arial" w:cs="Arial"/>
          <w:sz w:val="22"/>
          <w:szCs w:val="22"/>
        </w:rPr>
      </w:pPr>
    </w:p>
    <w:p w14:paraId="2C05AC2F" w14:textId="77777777" w:rsidR="008C43B9" w:rsidRPr="00CA6930" w:rsidRDefault="008C43B9" w:rsidP="00CA6930">
      <w:pPr>
        <w:spacing w:line="276" w:lineRule="auto"/>
        <w:rPr>
          <w:rFonts w:ascii="Arial" w:hAnsi="Arial" w:cs="Arial"/>
          <w:sz w:val="22"/>
          <w:szCs w:val="22"/>
        </w:rPr>
      </w:pPr>
    </w:p>
    <w:p w14:paraId="2A1C2AFD" w14:textId="2CF836F6" w:rsidR="00B43FA4" w:rsidRPr="00CA6930" w:rsidRDefault="00B43FA4" w:rsidP="00CA6930">
      <w:pPr>
        <w:pStyle w:val="Heading4"/>
        <w:spacing w:line="276" w:lineRule="auto"/>
        <w:rPr>
          <w:rFonts w:ascii="Arial" w:hAnsi="Arial" w:cs="Arial"/>
          <w:sz w:val="22"/>
          <w:szCs w:val="22"/>
        </w:rPr>
      </w:pPr>
      <w:bookmarkStart w:id="17" w:name="_Toc88063365"/>
      <w:bookmarkEnd w:id="16"/>
      <w:r w:rsidRPr="00CA6930">
        <w:rPr>
          <w:rFonts w:ascii="Arial" w:hAnsi="Arial" w:cs="Arial"/>
          <w:sz w:val="22"/>
          <w:szCs w:val="22"/>
        </w:rPr>
        <w:t>2.2.2</w:t>
      </w:r>
      <w:r w:rsidRPr="00CA6930">
        <w:rPr>
          <w:rFonts w:ascii="Arial" w:hAnsi="Arial" w:cs="Arial"/>
          <w:sz w:val="22"/>
          <w:szCs w:val="22"/>
        </w:rPr>
        <w:tab/>
        <w:t>Stage 2 Submission</w:t>
      </w:r>
      <w:bookmarkEnd w:id="17"/>
      <w:r w:rsidRPr="00CA6930">
        <w:rPr>
          <w:rFonts w:ascii="Arial" w:hAnsi="Arial" w:cs="Arial"/>
          <w:sz w:val="22"/>
          <w:szCs w:val="22"/>
        </w:rPr>
        <w:t xml:space="preserve"> </w:t>
      </w:r>
    </w:p>
    <w:p w14:paraId="15A9E250" w14:textId="77777777" w:rsidR="00B43FA4" w:rsidRPr="00CA6930" w:rsidRDefault="00B43FA4" w:rsidP="00CA6930">
      <w:pPr>
        <w:pStyle w:val="Heading4"/>
        <w:spacing w:line="276" w:lineRule="auto"/>
        <w:rPr>
          <w:rFonts w:ascii="Arial" w:hAnsi="Arial" w:cs="Arial"/>
          <w:sz w:val="22"/>
          <w:szCs w:val="22"/>
        </w:rPr>
      </w:pPr>
    </w:p>
    <w:p w14:paraId="315BC598" w14:textId="45D3C5B8" w:rsidR="00B43FA4" w:rsidRPr="00CA6930" w:rsidRDefault="00C55607" w:rsidP="00CA6930">
      <w:pPr>
        <w:spacing w:line="276" w:lineRule="auto"/>
        <w:rPr>
          <w:rFonts w:ascii="Arial" w:hAnsi="Arial" w:cs="Arial"/>
          <w:sz w:val="22"/>
          <w:szCs w:val="22"/>
        </w:rPr>
      </w:pPr>
      <w:r w:rsidRPr="00CA6930">
        <w:rPr>
          <w:rFonts w:ascii="Arial" w:hAnsi="Arial" w:cs="Arial"/>
          <w:sz w:val="22"/>
          <w:szCs w:val="22"/>
        </w:rPr>
        <w:t xml:space="preserve">Successful </w:t>
      </w:r>
      <w:r w:rsidR="000B3416" w:rsidRPr="00CA6930">
        <w:rPr>
          <w:rFonts w:ascii="Arial" w:hAnsi="Arial" w:cs="Arial"/>
          <w:sz w:val="22"/>
          <w:szCs w:val="22"/>
        </w:rPr>
        <w:t xml:space="preserve">applicants </w:t>
      </w:r>
      <w:r w:rsidR="00A92538" w:rsidRPr="00CA6930">
        <w:rPr>
          <w:rFonts w:ascii="Arial" w:hAnsi="Arial" w:cs="Arial"/>
          <w:sz w:val="22"/>
          <w:szCs w:val="22"/>
        </w:rPr>
        <w:t xml:space="preserve">at </w:t>
      </w:r>
      <w:r w:rsidR="00C11A3A" w:rsidRPr="00CA6930">
        <w:rPr>
          <w:rFonts w:ascii="Arial" w:hAnsi="Arial" w:cs="Arial"/>
          <w:sz w:val="22"/>
          <w:szCs w:val="22"/>
        </w:rPr>
        <w:t>S</w:t>
      </w:r>
      <w:r w:rsidR="00A92538" w:rsidRPr="00CA6930">
        <w:rPr>
          <w:rFonts w:ascii="Arial" w:hAnsi="Arial" w:cs="Arial"/>
          <w:sz w:val="22"/>
          <w:szCs w:val="22"/>
        </w:rPr>
        <w:t xml:space="preserve">tage 1 will advance to Stage 2. </w:t>
      </w:r>
      <w:r w:rsidR="00B43FA4" w:rsidRPr="00CA6930">
        <w:rPr>
          <w:rFonts w:ascii="Arial" w:hAnsi="Arial" w:cs="Arial"/>
          <w:sz w:val="22"/>
          <w:szCs w:val="22"/>
        </w:rPr>
        <w:t xml:space="preserve">If your proposal </w:t>
      </w:r>
      <w:r w:rsidR="005405AE">
        <w:rPr>
          <w:rFonts w:ascii="Arial" w:hAnsi="Arial" w:cs="Arial"/>
          <w:sz w:val="22"/>
          <w:szCs w:val="22"/>
        </w:rPr>
        <w:t>advances</w:t>
      </w:r>
      <w:r w:rsidR="00B43FA4" w:rsidRPr="00CA6930">
        <w:rPr>
          <w:rFonts w:ascii="Arial" w:hAnsi="Arial" w:cs="Arial"/>
          <w:sz w:val="22"/>
          <w:szCs w:val="22"/>
        </w:rPr>
        <w:t xml:space="preserve"> to Stage 2, you will be written to at that time under separate cover, outlining the full requirements in respect of the Stage 2</w:t>
      </w:r>
      <w:r w:rsidR="00CE3C11" w:rsidRPr="00CA6930">
        <w:rPr>
          <w:rFonts w:ascii="Arial" w:hAnsi="Arial" w:cs="Arial"/>
          <w:sz w:val="22"/>
          <w:szCs w:val="22"/>
        </w:rPr>
        <w:t xml:space="preserve"> </w:t>
      </w:r>
      <w:r w:rsidR="00B43FA4" w:rsidRPr="00CA6930">
        <w:rPr>
          <w:rFonts w:ascii="Arial" w:hAnsi="Arial" w:cs="Arial"/>
          <w:sz w:val="22"/>
          <w:szCs w:val="22"/>
        </w:rPr>
        <w:t>submission.</w:t>
      </w:r>
      <w:r w:rsidR="00BF086C" w:rsidRPr="00CA6930">
        <w:rPr>
          <w:rFonts w:ascii="Arial" w:hAnsi="Arial" w:cs="Arial"/>
          <w:sz w:val="22"/>
          <w:szCs w:val="22"/>
        </w:rPr>
        <w:t xml:space="preserve"> </w:t>
      </w:r>
      <w:r w:rsidR="00A92538" w:rsidRPr="00CA6930">
        <w:rPr>
          <w:rFonts w:ascii="Arial" w:hAnsi="Arial" w:cs="Arial"/>
          <w:sz w:val="22"/>
          <w:szCs w:val="22"/>
        </w:rPr>
        <w:t>The</w:t>
      </w:r>
      <w:r w:rsidR="00B43FA4" w:rsidRPr="00CA6930">
        <w:rPr>
          <w:rFonts w:ascii="Arial" w:hAnsi="Arial" w:cs="Arial"/>
          <w:sz w:val="22"/>
          <w:szCs w:val="22"/>
        </w:rPr>
        <w:t xml:space="preserve"> following </w:t>
      </w:r>
      <w:r w:rsidR="000020AB" w:rsidRPr="00CA6930">
        <w:rPr>
          <w:rFonts w:ascii="Arial" w:hAnsi="Arial" w:cs="Arial"/>
          <w:sz w:val="22"/>
          <w:szCs w:val="22"/>
        </w:rPr>
        <w:t xml:space="preserve">are possible </w:t>
      </w:r>
      <w:r w:rsidR="00DC0615" w:rsidRPr="00CA6930">
        <w:rPr>
          <w:rFonts w:ascii="Arial" w:hAnsi="Arial" w:cs="Arial"/>
          <w:sz w:val="22"/>
          <w:szCs w:val="22"/>
        </w:rPr>
        <w:t xml:space="preserve">outline requirements </w:t>
      </w:r>
      <w:r w:rsidR="000020AB" w:rsidRPr="00CA6930">
        <w:rPr>
          <w:rFonts w:ascii="Arial" w:hAnsi="Arial" w:cs="Arial"/>
          <w:sz w:val="22"/>
          <w:szCs w:val="22"/>
        </w:rPr>
        <w:t>that may</w:t>
      </w:r>
      <w:r w:rsidR="00B43FA4" w:rsidRPr="00CA6930">
        <w:rPr>
          <w:rFonts w:ascii="Arial" w:hAnsi="Arial" w:cs="Arial"/>
          <w:sz w:val="22"/>
          <w:szCs w:val="22"/>
        </w:rPr>
        <w:t>be required for Stage 2:</w:t>
      </w:r>
    </w:p>
    <w:p w14:paraId="52305D25" w14:textId="77777777" w:rsidR="00A92538" w:rsidRPr="00CA6930" w:rsidRDefault="00A92538" w:rsidP="00CA6930">
      <w:pPr>
        <w:spacing w:line="276" w:lineRule="auto"/>
        <w:rPr>
          <w:rFonts w:ascii="Arial" w:hAnsi="Arial" w:cs="Arial"/>
          <w:sz w:val="22"/>
          <w:szCs w:val="22"/>
        </w:rPr>
      </w:pPr>
    </w:p>
    <w:p w14:paraId="08B26588" w14:textId="3ADA1C1B"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Number and mix of units proposed</w:t>
      </w:r>
      <w:r w:rsidR="00461060" w:rsidRPr="00CA6930">
        <w:rPr>
          <w:rFonts w:ascii="Arial" w:hAnsi="Arial" w:cs="Arial"/>
          <w:sz w:val="22"/>
          <w:szCs w:val="22"/>
        </w:rPr>
        <w:t>, and density in phase or phases</w:t>
      </w:r>
      <w:r w:rsidR="00A46138" w:rsidRPr="00CA6930">
        <w:rPr>
          <w:rFonts w:ascii="Arial" w:hAnsi="Arial" w:cs="Arial"/>
          <w:sz w:val="22"/>
          <w:szCs w:val="22"/>
        </w:rPr>
        <w:t>;</w:t>
      </w:r>
    </w:p>
    <w:p w14:paraId="098A6473" w14:textId="5C750CDA" w:rsidR="002A2966" w:rsidRPr="00CA6930" w:rsidRDefault="002A2966"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Schedule of materials and finishes being proposed</w:t>
      </w:r>
      <w:r w:rsidR="00A46138" w:rsidRPr="00CA6930">
        <w:rPr>
          <w:rFonts w:ascii="Arial" w:hAnsi="Arial" w:cs="Arial"/>
          <w:sz w:val="22"/>
          <w:szCs w:val="22"/>
        </w:rPr>
        <w:t>;</w:t>
      </w:r>
    </w:p>
    <w:p w14:paraId="60AEAEDE" w14:textId="35119F05"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The all</w:t>
      </w:r>
      <w:r w:rsidR="00F01566" w:rsidRPr="00CA6930">
        <w:rPr>
          <w:rFonts w:ascii="Arial" w:hAnsi="Arial" w:cs="Arial"/>
          <w:sz w:val="22"/>
          <w:szCs w:val="22"/>
        </w:rPr>
        <w:t>-</w:t>
      </w:r>
      <w:r w:rsidRPr="00CA6930">
        <w:rPr>
          <w:rFonts w:ascii="Arial" w:hAnsi="Arial" w:cs="Arial"/>
          <w:sz w:val="22"/>
          <w:szCs w:val="22"/>
        </w:rPr>
        <w:t>in cost of the development broken down between land costs, construction costs, design fees and other costs such as development levies, utilities, financing costs, sales, marketing, profit etc</w:t>
      </w:r>
      <w:r w:rsidR="0037116E" w:rsidRPr="00CA6930">
        <w:rPr>
          <w:rFonts w:ascii="Arial" w:hAnsi="Arial" w:cs="Arial"/>
          <w:sz w:val="22"/>
          <w:szCs w:val="22"/>
        </w:rPr>
        <w:t>.</w:t>
      </w:r>
      <w:r w:rsidR="00DF7C26" w:rsidRPr="00CA6930">
        <w:rPr>
          <w:rFonts w:ascii="Arial" w:hAnsi="Arial" w:cs="Arial"/>
          <w:sz w:val="22"/>
          <w:szCs w:val="22"/>
        </w:rPr>
        <w:t xml:space="preserve"> </w:t>
      </w:r>
      <w:r w:rsidR="009560D2" w:rsidRPr="00CA6930">
        <w:rPr>
          <w:rFonts w:ascii="Arial" w:hAnsi="Arial" w:cs="Arial"/>
          <w:sz w:val="22"/>
          <w:szCs w:val="22"/>
        </w:rPr>
        <w:t xml:space="preserve">It is a requirement that this information </w:t>
      </w:r>
      <w:r w:rsidR="00A46138" w:rsidRPr="00CA6930">
        <w:rPr>
          <w:rFonts w:ascii="Arial" w:hAnsi="Arial" w:cs="Arial"/>
          <w:sz w:val="22"/>
          <w:szCs w:val="22"/>
        </w:rPr>
        <w:t xml:space="preserve">be provided for the different </w:t>
      </w:r>
      <w:r w:rsidR="00845068" w:rsidRPr="00CA6930">
        <w:rPr>
          <w:rFonts w:ascii="Arial" w:hAnsi="Arial" w:cs="Arial"/>
          <w:sz w:val="22"/>
          <w:szCs w:val="22"/>
        </w:rPr>
        <w:t>unit types</w:t>
      </w:r>
      <w:r w:rsidR="00A46138" w:rsidRPr="00CA6930">
        <w:rPr>
          <w:rFonts w:ascii="Arial" w:hAnsi="Arial" w:cs="Arial"/>
          <w:sz w:val="22"/>
          <w:szCs w:val="22"/>
        </w:rPr>
        <w:t>;</w:t>
      </w:r>
    </w:p>
    <w:p w14:paraId="28775730" w14:textId="0AC0761C" w:rsidR="00B43FA4" w:rsidRPr="00CA6930" w:rsidRDefault="00B43FA4"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A timeframe/programme for the completion of the proposed development</w:t>
      </w:r>
      <w:r w:rsidR="00A46138" w:rsidRPr="00CA6930">
        <w:rPr>
          <w:rFonts w:ascii="Arial" w:hAnsi="Arial" w:cs="Arial"/>
          <w:sz w:val="22"/>
          <w:szCs w:val="22"/>
        </w:rPr>
        <w:t>;</w:t>
      </w:r>
    </w:p>
    <w:p w14:paraId="32B729FB" w14:textId="58822B68" w:rsidR="00D94E80" w:rsidRPr="00CA6930" w:rsidRDefault="00D94E80"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 xml:space="preserve">Details of </w:t>
      </w:r>
      <w:r w:rsidR="006E44F6" w:rsidRPr="00CA6930">
        <w:rPr>
          <w:rFonts w:ascii="Arial" w:hAnsi="Arial" w:cs="Arial"/>
          <w:sz w:val="22"/>
          <w:szCs w:val="22"/>
        </w:rPr>
        <w:t>any</w:t>
      </w:r>
      <w:r w:rsidRPr="00CA6930">
        <w:rPr>
          <w:rFonts w:ascii="Arial" w:hAnsi="Arial" w:cs="Arial"/>
          <w:sz w:val="22"/>
          <w:szCs w:val="22"/>
        </w:rPr>
        <w:t xml:space="preserve"> Approved Housing Body, if applicable, and proposed role in delivering the </w:t>
      </w:r>
      <w:r w:rsidR="00A46138" w:rsidRPr="00CA6930">
        <w:rPr>
          <w:rFonts w:ascii="Arial" w:hAnsi="Arial" w:cs="Arial"/>
          <w:sz w:val="22"/>
          <w:szCs w:val="22"/>
        </w:rPr>
        <w:t>development;</w:t>
      </w:r>
    </w:p>
    <w:p w14:paraId="69FDB584" w14:textId="711F4C97" w:rsidR="00A9783C" w:rsidRPr="00CA6930" w:rsidRDefault="00A46138" w:rsidP="00CA6930">
      <w:pPr>
        <w:pStyle w:val="ListParagraph"/>
        <w:numPr>
          <w:ilvl w:val="0"/>
          <w:numId w:val="24"/>
        </w:numPr>
        <w:spacing w:line="276" w:lineRule="auto"/>
        <w:rPr>
          <w:rFonts w:ascii="Arial" w:hAnsi="Arial" w:cs="Arial"/>
          <w:sz w:val="22"/>
          <w:szCs w:val="22"/>
        </w:rPr>
      </w:pPr>
      <w:r w:rsidRPr="00CA6930">
        <w:rPr>
          <w:rFonts w:ascii="Arial" w:hAnsi="Arial" w:cs="Arial"/>
          <w:sz w:val="22"/>
          <w:szCs w:val="22"/>
        </w:rPr>
        <w:t>Any o</w:t>
      </w:r>
      <w:r w:rsidR="00A9783C" w:rsidRPr="00CA6930">
        <w:rPr>
          <w:rFonts w:ascii="Arial" w:hAnsi="Arial" w:cs="Arial"/>
          <w:sz w:val="22"/>
          <w:szCs w:val="22"/>
        </w:rPr>
        <w:t xml:space="preserve">ther </w:t>
      </w:r>
      <w:r w:rsidRPr="00CA6930">
        <w:rPr>
          <w:rFonts w:ascii="Arial" w:hAnsi="Arial" w:cs="Arial"/>
          <w:sz w:val="22"/>
          <w:szCs w:val="22"/>
        </w:rPr>
        <w:t xml:space="preserve">relevant </w:t>
      </w:r>
      <w:r w:rsidR="00A9783C" w:rsidRPr="00CA6930">
        <w:rPr>
          <w:rFonts w:ascii="Arial" w:hAnsi="Arial" w:cs="Arial"/>
          <w:sz w:val="22"/>
          <w:szCs w:val="22"/>
        </w:rPr>
        <w:t>information</w:t>
      </w:r>
      <w:r w:rsidRPr="00CA6930">
        <w:rPr>
          <w:rFonts w:ascii="Arial" w:hAnsi="Arial" w:cs="Arial"/>
          <w:sz w:val="22"/>
          <w:szCs w:val="22"/>
        </w:rPr>
        <w:t>;</w:t>
      </w:r>
      <w:r w:rsidR="00A9783C" w:rsidRPr="00CA6930">
        <w:rPr>
          <w:rFonts w:ascii="Arial" w:hAnsi="Arial" w:cs="Arial"/>
          <w:sz w:val="22"/>
          <w:szCs w:val="22"/>
        </w:rPr>
        <w:t xml:space="preserve"> </w:t>
      </w:r>
    </w:p>
    <w:p w14:paraId="7D00D886" w14:textId="77777777" w:rsidR="00852764" w:rsidRPr="00CA6930" w:rsidRDefault="00852764" w:rsidP="00CA6930">
      <w:pPr>
        <w:pStyle w:val="Default"/>
        <w:spacing w:after="61" w:line="276" w:lineRule="auto"/>
        <w:jc w:val="both"/>
        <w:rPr>
          <w:sz w:val="22"/>
          <w:szCs w:val="22"/>
        </w:rPr>
      </w:pPr>
    </w:p>
    <w:p w14:paraId="0215FF84" w14:textId="5AC96785" w:rsidR="00880A5D" w:rsidRPr="00CA6930" w:rsidRDefault="00880A5D" w:rsidP="00CA6930">
      <w:pPr>
        <w:pStyle w:val="Default"/>
        <w:spacing w:after="61" w:line="276" w:lineRule="auto"/>
        <w:jc w:val="both"/>
        <w:rPr>
          <w:sz w:val="22"/>
          <w:szCs w:val="22"/>
        </w:rPr>
      </w:pPr>
      <w:r w:rsidRPr="00CA6930">
        <w:rPr>
          <w:rFonts w:eastAsia="Times New Roman"/>
          <w:sz w:val="22"/>
          <w:szCs w:val="22"/>
        </w:rPr>
        <w:t xml:space="preserve">Included in the evaluation of Stage 2 submissions, is the availability of AHF subsidy for </w:t>
      </w:r>
      <w:r w:rsidRPr="00CA6930">
        <w:rPr>
          <w:sz w:val="22"/>
          <w:szCs w:val="22"/>
        </w:rPr>
        <w:t>affordable and mixed tenure dwelling</w:t>
      </w:r>
      <w:r w:rsidR="00AB6A7D" w:rsidRPr="00CA6930">
        <w:rPr>
          <w:sz w:val="22"/>
          <w:szCs w:val="22"/>
        </w:rPr>
        <w:t>s</w:t>
      </w:r>
      <w:r w:rsidRPr="00CA6930">
        <w:rPr>
          <w:sz w:val="22"/>
          <w:szCs w:val="22"/>
        </w:rPr>
        <w:t xml:space="preserve">, </w:t>
      </w:r>
      <w:r w:rsidRPr="00CA6930">
        <w:rPr>
          <w:rFonts w:eastAsia="Times New Roman"/>
          <w:sz w:val="22"/>
          <w:szCs w:val="22"/>
        </w:rPr>
        <w:t xml:space="preserve">which is subject to a review by the </w:t>
      </w:r>
      <w:r w:rsidR="00AF0DA6" w:rsidRPr="00CA6930">
        <w:rPr>
          <w:sz w:val="22"/>
          <w:szCs w:val="22"/>
        </w:rPr>
        <w:t>Department of Housing, Local Government and Heritage (DHLGH).</w:t>
      </w:r>
      <w:r w:rsidRPr="00CA6930">
        <w:rPr>
          <w:rFonts w:eastAsia="Times New Roman"/>
          <w:sz w:val="22"/>
          <w:szCs w:val="22"/>
        </w:rPr>
        <w:t xml:space="preserve"> </w:t>
      </w:r>
    </w:p>
    <w:p w14:paraId="3EE9EB1E" w14:textId="77777777" w:rsidR="00E94DAC" w:rsidRPr="00CA6930" w:rsidRDefault="00E94DAC" w:rsidP="00CA6930">
      <w:pPr>
        <w:pStyle w:val="Default"/>
        <w:spacing w:after="64" w:line="276" w:lineRule="auto"/>
        <w:jc w:val="both"/>
        <w:rPr>
          <w:rFonts w:eastAsia="Times New Roman"/>
          <w:sz w:val="22"/>
          <w:szCs w:val="22"/>
        </w:rPr>
      </w:pPr>
    </w:p>
    <w:p w14:paraId="4A31AACD" w14:textId="3744F0B0" w:rsidR="007C165E" w:rsidRPr="00CA6930" w:rsidRDefault="00E94DAC" w:rsidP="00CA6930">
      <w:pPr>
        <w:pStyle w:val="Default"/>
        <w:spacing w:after="64" w:line="276" w:lineRule="auto"/>
        <w:jc w:val="both"/>
        <w:rPr>
          <w:rFonts w:eastAsia="Times New Roman"/>
          <w:sz w:val="22"/>
          <w:szCs w:val="22"/>
        </w:rPr>
      </w:pPr>
      <w:r w:rsidRPr="00CA6930">
        <w:rPr>
          <w:sz w:val="22"/>
          <w:szCs w:val="22"/>
        </w:rPr>
        <w:t>Subject to the stage 2 assessment the L</w:t>
      </w:r>
      <w:r w:rsidR="00C81785" w:rsidRPr="00CA6930">
        <w:rPr>
          <w:sz w:val="22"/>
          <w:szCs w:val="22"/>
        </w:rPr>
        <w:t xml:space="preserve">ocal Authority </w:t>
      </w:r>
      <w:r w:rsidRPr="00CA6930">
        <w:rPr>
          <w:sz w:val="22"/>
          <w:szCs w:val="22"/>
        </w:rPr>
        <w:t xml:space="preserve">will revert with confirmation that the scheme has been selected </w:t>
      </w:r>
      <w:r w:rsidR="00AC11DE" w:rsidRPr="00CA6930">
        <w:rPr>
          <w:sz w:val="22"/>
          <w:szCs w:val="22"/>
        </w:rPr>
        <w:t xml:space="preserve">or </w:t>
      </w:r>
      <w:r w:rsidR="009970CC" w:rsidRPr="00CA6930">
        <w:rPr>
          <w:sz w:val="22"/>
          <w:szCs w:val="22"/>
        </w:rPr>
        <w:t>declined</w:t>
      </w:r>
      <w:r w:rsidR="00AC11DE" w:rsidRPr="00CA6930">
        <w:rPr>
          <w:sz w:val="22"/>
          <w:szCs w:val="22"/>
        </w:rPr>
        <w:t xml:space="preserve"> </w:t>
      </w:r>
      <w:r w:rsidRPr="00CA6930">
        <w:rPr>
          <w:sz w:val="22"/>
          <w:szCs w:val="22"/>
        </w:rPr>
        <w:t>for approval</w:t>
      </w:r>
      <w:r w:rsidR="00CB2E4D" w:rsidRPr="00CA6930">
        <w:rPr>
          <w:sz w:val="22"/>
          <w:szCs w:val="22"/>
        </w:rPr>
        <w:t xml:space="preserve">. </w:t>
      </w:r>
    </w:p>
    <w:p w14:paraId="0F47819A" w14:textId="77777777" w:rsidR="00852764" w:rsidRPr="00CA6930" w:rsidRDefault="00852764" w:rsidP="00CA6930">
      <w:pPr>
        <w:spacing w:line="276" w:lineRule="auto"/>
        <w:rPr>
          <w:rFonts w:ascii="Arial" w:hAnsi="Arial" w:cs="Arial"/>
          <w:b/>
          <w:bCs/>
          <w:sz w:val="22"/>
          <w:szCs w:val="22"/>
        </w:rPr>
      </w:pPr>
    </w:p>
    <w:p w14:paraId="381E709C" w14:textId="77777777" w:rsidR="00B43FA4" w:rsidRPr="00CA6930" w:rsidRDefault="00B43FA4" w:rsidP="00CA6930">
      <w:pPr>
        <w:pStyle w:val="Default"/>
        <w:spacing w:after="64" w:line="276" w:lineRule="auto"/>
        <w:jc w:val="both"/>
        <w:rPr>
          <w:color w:val="auto"/>
          <w:sz w:val="22"/>
          <w:szCs w:val="22"/>
        </w:rPr>
      </w:pPr>
    </w:p>
    <w:p w14:paraId="6ED7C824" w14:textId="73363453" w:rsidR="00B43FA4" w:rsidRPr="00CA6930" w:rsidRDefault="00852764" w:rsidP="00CA6930">
      <w:pPr>
        <w:pStyle w:val="Heading2"/>
        <w:spacing w:line="276" w:lineRule="auto"/>
        <w:rPr>
          <w:sz w:val="22"/>
          <w:szCs w:val="22"/>
        </w:rPr>
      </w:pPr>
      <w:bookmarkStart w:id="18" w:name="_Toc86343282"/>
      <w:bookmarkStart w:id="19" w:name="_Toc88063366"/>
      <w:r w:rsidRPr="00CA6930">
        <w:rPr>
          <w:sz w:val="22"/>
          <w:szCs w:val="22"/>
        </w:rPr>
        <w:t>Contractual arrangement</w:t>
      </w:r>
      <w:bookmarkEnd w:id="18"/>
      <w:r w:rsidR="001D60B3" w:rsidRPr="00CA6930">
        <w:rPr>
          <w:sz w:val="22"/>
          <w:szCs w:val="22"/>
        </w:rPr>
        <w:t>s</w:t>
      </w:r>
      <w:bookmarkEnd w:id="19"/>
    </w:p>
    <w:p w14:paraId="36D7522C" w14:textId="77777777" w:rsidR="0053106E" w:rsidRPr="00CA6930" w:rsidRDefault="0053106E" w:rsidP="00CA6930">
      <w:pPr>
        <w:spacing w:line="276" w:lineRule="auto"/>
        <w:rPr>
          <w:rFonts w:ascii="Arial" w:hAnsi="Arial" w:cs="Arial"/>
          <w:sz w:val="22"/>
          <w:szCs w:val="22"/>
        </w:rPr>
      </w:pPr>
    </w:p>
    <w:p w14:paraId="3E5884C3" w14:textId="74CC54DF" w:rsidR="00E30D9D" w:rsidRPr="00CA6930" w:rsidRDefault="000847F7" w:rsidP="00CA6930">
      <w:pPr>
        <w:spacing w:line="276" w:lineRule="auto"/>
        <w:rPr>
          <w:rFonts w:ascii="Arial" w:hAnsi="Arial" w:cs="Arial"/>
          <w:sz w:val="22"/>
          <w:szCs w:val="22"/>
        </w:rPr>
      </w:pPr>
      <w:r w:rsidRPr="00CA6930">
        <w:rPr>
          <w:rFonts w:ascii="Arial" w:hAnsi="Arial" w:cs="Arial"/>
          <w:sz w:val="22"/>
          <w:szCs w:val="22"/>
        </w:rPr>
        <w:t>Where agreement is reached between the proposer and</w:t>
      </w:r>
      <w:r w:rsidR="0077174A">
        <w:rPr>
          <w:rFonts w:ascii="Arial" w:hAnsi="Arial" w:cs="Arial"/>
          <w:sz w:val="22"/>
          <w:szCs w:val="22"/>
        </w:rPr>
        <w:t xml:space="preserve"> Meath County Council</w:t>
      </w:r>
      <w:r w:rsidRPr="00CA6930">
        <w:rPr>
          <w:rFonts w:ascii="Arial" w:hAnsi="Arial" w:cs="Arial"/>
          <w:sz w:val="22"/>
          <w:szCs w:val="22"/>
        </w:rPr>
        <w:t xml:space="preserve"> on </w:t>
      </w:r>
      <w:r w:rsidR="00204E89" w:rsidRPr="00CA6930">
        <w:rPr>
          <w:rFonts w:ascii="Arial" w:hAnsi="Arial" w:cs="Arial"/>
          <w:sz w:val="22"/>
          <w:szCs w:val="22"/>
        </w:rPr>
        <w:t>the</w:t>
      </w:r>
      <w:r w:rsidRPr="00CA6930">
        <w:rPr>
          <w:rFonts w:ascii="Arial" w:hAnsi="Arial" w:cs="Arial"/>
          <w:sz w:val="22"/>
          <w:szCs w:val="22"/>
        </w:rPr>
        <w:t xml:space="preserve"> scheme of development, a</w:t>
      </w:r>
      <w:r w:rsidR="00216D23" w:rsidRPr="00CA6930">
        <w:rPr>
          <w:rFonts w:ascii="Arial" w:hAnsi="Arial" w:cs="Arial"/>
          <w:sz w:val="22"/>
          <w:szCs w:val="22"/>
        </w:rPr>
        <w:t xml:space="preserve"> project specific Development Agreement </w:t>
      </w:r>
      <w:r w:rsidR="00C10F8B" w:rsidRPr="00CA6930">
        <w:rPr>
          <w:rFonts w:ascii="Arial" w:hAnsi="Arial" w:cs="Arial"/>
          <w:sz w:val="22"/>
          <w:szCs w:val="22"/>
        </w:rPr>
        <w:t xml:space="preserve">will be </w:t>
      </w:r>
      <w:r w:rsidR="00627E4F" w:rsidRPr="00CA6930">
        <w:rPr>
          <w:rFonts w:ascii="Arial" w:hAnsi="Arial" w:cs="Arial"/>
          <w:sz w:val="22"/>
          <w:szCs w:val="22"/>
        </w:rPr>
        <w:t>required</w:t>
      </w:r>
      <w:r w:rsidR="00ED1433" w:rsidRPr="00CA6930">
        <w:rPr>
          <w:rFonts w:ascii="Arial" w:hAnsi="Arial" w:cs="Arial"/>
          <w:sz w:val="22"/>
          <w:szCs w:val="22"/>
        </w:rPr>
        <w:t xml:space="preserve"> between the parties</w:t>
      </w:r>
      <w:r w:rsidR="00750E7B" w:rsidRPr="00CA6930">
        <w:rPr>
          <w:rFonts w:ascii="Arial" w:hAnsi="Arial" w:cs="Arial"/>
          <w:sz w:val="22"/>
          <w:szCs w:val="22"/>
        </w:rPr>
        <w:t xml:space="preserve"> </w:t>
      </w:r>
      <w:r w:rsidR="00216D23" w:rsidRPr="00CA6930">
        <w:rPr>
          <w:rFonts w:ascii="Arial" w:hAnsi="Arial" w:cs="Arial"/>
          <w:sz w:val="22"/>
          <w:szCs w:val="22"/>
        </w:rPr>
        <w:t>regarding</w:t>
      </w:r>
      <w:r w:rsidR="00993F57" w:rsidRPr="00CA6930">
        <w:rPr>
          <w:rFonts w:ascii="Arial" w:hAnsi="Arial" w:cs="Arial"/>
          <w:sz w:val="22"/>
          <w:szCs w:val="22"/>
        </w:rPr>
        <w:t xml:space="preserve"> the advance</w:t>
      </w:r>
      <w:r w:rsidR="00216D23" w:rsidRPr="00CA6930">
        <w:rPr>
          <w:rFonts w:ascii="Arial" w:hAnsi="Arial" w:cs="Arial"/>
          <w:sz w:val="22"/>
          <w:szCs w:val="22"/>
        </w:rPr>
        <w:t xml:space="preserve"> </w:t>
      </w:r>
      <w:r w:rsidR="0022733C" w:rsidRPr="00CA6930">
        <w:rPr>
          <w:rFonts w:ascii="Arial" w:hAnsi="Arial" w:cs="Arial"/>
          <w:sz w:val="22"/>
          <w:szCs w:val="22"/>
        </w:rPr>
        <w:t>purchase</w:t>
      </w:r>
      <w:r w:rsidR="00216D23" w:rsidRPr="00CA6930">
        <w:rPr>
          <w:rFonts w:ascii="Arial" w:hAnsi="Arial" w:cs="Arial"/>
          <w:sz w:val="22"/>
          <w:szCs w:val="22"/>
        </w:rPr>
        <w:t xml:space="preserve"> of </w:t>
      </w:r>
      <w:r w:rsidR="00C81785" w:rsidRPr="00CA6930">
        <w:rPr>
          <w:rFonts w:ascii="Arial" w:hAnsi="Arial" w:cs="Arial"/>
          <w:sz w:val="22"/>
          <w:szCs w:val="22"/>
        </w:rPr>
        <w:t xml:space="preserve">any </w:t>
      </w:r>
      <w:r w:rsidR="00216D23" w:rsidRPr="00CA6930">
        <w:rPr>
          <w:rFonts w:ascii="Arial" w:hAnsi="Arial" w:cs="Arial"/>
          <w:sz w:val="22"/>
          <w:szCs w:val="22"/>
        </w:rPr>
        <w:t xml:space="preserve">affordable </w:t>
      </w:r>
      <w:r w:rsidR="00C81785" w:rsidRPr="00CA6930">
        <w:rPr>
          <w:rFonts w:ascii="Arial" w:hAnsi="Arial" w:cs="Arial"/>
          <w:sz w:val="22"/>
          <w:szCs w:val="22"/>
        </w:rPr>
        <w:t xml:space="preserve">properties </w:t>
      </w:r>
      <w:r w:rsidR="00A34EC0" w:rsidRPr="00CA6930">
        <w:rPr>
          <w:rFonts w:ascii="Arial" w:hAnsi="Arial" w:cs="Arial"/>
          <w:sz w:val="22"/>
          <w:szCs w:val="22"/>
        </w:rPr>
        <w:t xml:space="preserve">and </w:t>
      </w:r>
      <w:r w:rsidR="00216D23" w:rsidRPr="00CA6930">
        <w:rPr>
          <w:rFonts w:ascii="Arial" w:hAnsi="Arial" w:cs="Arial"/>
          <w:sz w:val="22"/>
          <w:szCs w:val="22"/>
        </w:rPr>
        <w:t xml:space="preserve">will be determined by the particular characteristic of each development. </w:t>
      </w:r>
    </w:p>
    <w:p w14:paraId="06B860E3" w14:textId="77777777" w:rsidR="0016571B" w:rsidRPr="00CA6930" w:rsidRDefault="0016571B" w:rsidP="00CA6930">
      <w:pPr>
        <w:spacing w:line="276" w:lineRule="auto"/>
        <w:rPr>
          <w:rFonts w:ascii="Arial" w:hAnsi="Arial" w:cs="Arial"/>
          <w:sz w:val="22"/>
          <w:szCs w:val="22"/>
        </w:rPr>
      </w:pPr>
    </w:p>
    <w:p w14:paraId="3A376319" w14:textId="37912695" w:rsidR="00602C2E" w:rsidRPr="00CA6930" w:rsidRDefault="00204E89" w:rsidP="00CA6930">
      <w:pPr>
        <w:spacing w:line="276" w:lineRule="auto"/>
        <w:rPr>
          <w:rFonts w:ascii="Arial" w:hAnsi="Arial" w:cs="Arial"/>
          <w:sz w:val="22"/>
          <w:szCs w:val="22"/>
        </w:rPr>
      </w:pPr>
      <w:r w:rsidRPr="00CA6930">
        <w:rPr>
          <w:rFonts w:ascii="Arial" w:hAnsi="Arial" w:cs="Arial"/>
          <w:sz w:val="22"/>
          <w:szCs w:val="22"/>
        </w:rPr>
        <w:t xml:space="preserve">The </w:t>
      </w:r>
      <w:r w:rsidR="00E6483F" w:rsidRPr="00CA6930">
        <w:rPr>
          <w:rFonts w:ascii="Arial" w:hAnsi="Arial" w:cs="Arial"/>
          <w:sz w:val="22"/>
          <w:szCs w:val="22"/>
        </w:rPr>
        <w:t xml:space="preserve">conveyance of any </w:t>
      </w:r>
      <w:r w:rsidRPr="00CA6930">
        <w:rPr>
          <w:rFonts w:ascii="Arial" w:hAnsi="Arial" w:cs="Arial"/>
          <w:sz w:val="22"/>
          <w:szCs w:val="22"/>
        </w:rPr>
        <w:t xml:space="preserve">social </w:t>
      </w:r>
      <w:r w:rsidR="00C81785" w:rsidRPr="00CA6930">
        <w:rPr>
          <w:rFonts w:ascii="Arial" w:hAnsi="Arial" w:cs="Arial"/>
          <w:sz w:val="22"/>
          <w:szCs w:val="22"/>
        </w:rPr>
        <w:t xml:space="preserve">housing </w:t>
      </w:r>
      <w:r w:rsidR="006A2D01" w:rsidRPr="00CA6930">
        <w:rPr>
          <w:rFonts w:ascii="Arial" w:hAnsi="Arial" w:cs="Arial"/>
          <w:sz w:val="22"/>
          <w:szCs w:val="22"/>
        </w:rPr>
        <w:t>included in the proposal</w:t>
      </w:r>
      <w:r w:rsidR="006A2D01" w:rsidRPr="00CA6930" w:rsidDel="000847F7">
        <w:rPr>
          <w:rFonts w:ascii="Arial" w:hAnsi="Arial" w:cs="Arial"/>
          <w:sz w:val="22"/>
          <w:szCs w:val="22"/>
        </w:rPr>
        <w:t xml:space="preserve"> </w:t>
      </w:r>
      <w:r w:rsidR="00B43FA4" w:rsidRPr="00CA6930">
        <w:rPr>
          <w:rFonts w:ascii="Arial" w:hAnsi="Arial" w:cs="Arial"/>
          <w:sz w:val="22"/>
          <w:szCs w:val="22"/>
        </w:rPr>
        <w:t xml:space="preserve">will be by way of </w:t>
      </w:r>
      <w:r w:rsidR="00E6483F" w:rsidRPr="00CA6930">
        <w:rPr>
          <w:rFonts w:ascii="Arial" w:hAnsi="Arial" w:cs="Arial"/>
          <w:sz w:val="22"/>
          <w:szCs w:val="22"/>
        </w:rPr>
        <w:t xml:space="preserve">a </w:t>
      </w:r>
      <w:r w:rsidR="00B43FA4" w:rsidRPr="00CA6930">
        <w:rPr>
          <w:rFonts w:ascii="Arial" w:hAnsi="Arial" w:cs="Arial"/>
          <w:sz w:val="22"/>
          <w:szCs w:val="22"/>
        </w:rPr>
        <w:t>standard ‘Contract for Sale’, with a deposit payment of 10% being paid (in escrow) on execution of the contract</w:t>
      </w:r>
      <w:r w:rsidR="00E6483F" w:rsidRPr="00CA6930">
        <w:rPr>
          <w:rFonts w:ascii="Arial" w:hAnsi="Arial" w:cs="Arial"/>
          <w:sz w:val="22"/>
          <w:szCs w:val="22"/>
        </w:rPr>
        <w:t xml:space="preserve">. </w:t>
      </w:r>
      <w:r w:rsidR="00C81785" w:rsidRPr="00CA6930">
        <w:rPr>
          <w:rFonts w:ascii="Arial" w:hAnsi="Arial" w:cs="Arial"/>
          <w:sz w:val="22"/>
          <w:szCs w:val="22"/>
        </w:rPr>
        <w:t>Please note that Part V of the Planning and Development Act 2000 as amended applies</w:t>
      </w:r>
    </w:p>
    <w:p w14:paraId="37F5818F" w14:textId="77777777" w:rsidR="00B43FA4" w:rsidRPr="00CA6930" w:rsidRDefault="00B43FA4" w:rsidP="00CA6930">
      <w:pPr>
        <w:spacing w:line="276" w:lineRule="auto"/>
        <w:rPr>
          <w:rFonts w:ascii="Arial" w:hAnsi="Arial" w:cs="Arial"/>
          <w:sz w:val="22"/>
          <w:szCs w:val="22"/>
        </w:rPr>
      </w:pPr>
    </w:p>
    <w:p w14:paraId="60781D12" w14:textId="77777777" w:rsidR="00B43FA4" w:rsidRPr="00CA6930" w:rsidRDefault="00B43FA4" w:rsidP="00CA6930">
      <w:pPr>
        <w:spacing w:line="276" w:lineRule="auto"/>
        <w:rPr>
          <w:rFonts w:ascii="Arial" w:hAnsi="Arial" w:cs="Arial"/>
          <w:b/>
          <w:bCs/>
          <w:sz w:val="22"/>
          <w:szCs w:val="22"/>
        </w:rPr>
      </w:pPr>
      <w:r w:rsidRPr="00CA6930">
        <w:rPr>
          <w:rFonts w:ascii="Arial" w:hAnsi="Arial" w:cs="Arial"/>
          <w:b/>
          <w:bCs/>
          <w:sz w:val="22"/>
          <w:szCs w:val="22"/>
        </w:rPr>
        <w:t>The turnkey contract agreement is not and should not be construed as a building agreement or public works contract.</w:t>
      </w:r>
    </w:p>
    <w:p w14:paraId="6E4E446E" w14:textId="77777777" w:rsidR="00B43FA4" w:rsidRPr="00CA6930" w:rsidRDefault="00B43FA4" w:rsidP="00CA6930">
      <w:pPr>
        <w:spacing w:line="276" w:lineRule="auto"/>
        <w:rPr>
          <w:rFonts w:ascii="Arial" w:hAnsi="Arial" w:cs="Arial"/>
          <w:b/>
          <w:sz w:val="22"/>
          <w:szCs w:val="22"/>
        </w:rPr>
      </w:pPr>
    </w:p>
    <w:p w14:paraId="4BA4108B" w14:textId="6B1F2640" w:rsidR="00B43FA4" w:rsidRPr="00CA6930" w:rsidRDefault="003E4BA7" w:rsidP="00CA6930">
      <w:pPr>
        <w:spacing w:line="276" w:lineRule="auto"/>
        <w:rPr>
          <w:rFonts w:ascii="Arial" w:hAnsi="Arial" w:cs="Arial"/>
          <w:sz w:val="22"/>
          <w:szCs w:val="22"/>
        </w:rPr>
      </w:pPr>
      <w:r w:rsidRPr="00CA6930">
        <w:rPr>
          <w:rFonts w:ascii="Arial" w:hAnsi="Arial" w:cs="Arial"/>
          <w:sz w:val="22"/>
          <w:szCs w:val="22"/>
        </w:rPr>
        <w:t>T</w:t>
      </w:r>
      <w:r w:rsidR="00B43FA4" w:rsidRPr="00CA6930">
        <w:rPr>
          <w:rFonts w:ascii="Arial" w:hAnsi="Arial" w:cs="Arial"/>
          <w:sz w:val="22"/>
          <w:szCs w:val="22"/>
        </w:rPr>
        <w:t xml:space="preserve">he acceptance of any proposal(s) by </w:t>
      </w:r>
      <w:r w:rsidR="0077174A">
        <w:rPr>
          <w:rFonts w:ascii="Arial" w:hAnsi="Arial" w:cs="Arial"/>
          <w:sz w:val="22"/>
          <w:szCs w:val="22"/>
        </w:rPr>
        <w:t xml:space="preserve">Meath County Council </w:t>
      </w:r>
      <w:r w:rsidR="00B43FA4" w:rsidRPr="00CA6930">
        <w:rPr>
          <w:rFonts w:ascii="Arial" w:hAnsi="Arial" w:cs="Arial"/>
          <w:sz w:val="22"/>
          <w:szCs w:val="22"/>
        </w:rPr>
        <w:t xml:space="preserve">shall be subject to the final agreement of satisfactory terms of contract with the </w:t>
      </w:r>
      <w:r w:rsidR="009605FD" w:rsidRPr="00CA6930">
        <w:rPr>
          <w:rFonts w:ascii="Arial" w:hAnsi="Arial" w:cs="Arial"/>
          <w:sz w:val="22"/>
          <w:szCs w:val="22"/>
        </w:rPr>
        <w:t xml:space="preserve">developer </w:t>
      </w:r>
      <w:r w:rsidR="00B43FA4" w:rsidRPr="00CA6930">
        <w:rPr>
          <w:rFonts w:ascii="Arial" w:hAnsi="Arial" w:cs="Arial"/>
          <w:sz w:val="22"/>
          <w:szCs w:val="22"/>
        </w:rPr>
        <w:t>and will also be subject to the availability of funding and the approval of the Department of Housing, Local Government</w:t>
      </w:r>
      <w:r w:rsidR="00252DEC" w:rsidRPr="00CA6930">
        <w:rPr>
          <w:rFonts w:ascii="Arial" w:hAnsi="Arial" w:cs="Arial"/>
          <w:sz w:val="22"/>
          <w:szCs w:val="22"/>
        </w:rPr>
        <w:t xml:space="preserve"> and Heritage</w:t>
      </w:r>
      <w:r w:rsidR="00B43FA4" w:rsidRPr="00CA6930">
        <w:rPr>
          <w:rFonts w:ascii="Arial" w:hAnsi="Arial" w:cs="Arial"/>
          <w:sz w:val="22"/>
          <w:szCs w:val="22"/>
        </w:rPr>
        <w:t>.</w:t>
      </w:r>
    </w:p>
    <w:p w14:paraId="701B8394" w14:textId="77777777" w:rsidR="00B43FA4" w:rsidRPr="00CA6930" w:rsidRDefault="00B43FA4" w:rsidP="00CA6930">
      <w:pPr>
        <w:spacing w:line="276" w:lineRule="auto"/>
        <w:rPr>
          <w:rFonts w:ascii="Arial" w:hAnsi="Arial" w:cs="Arial"/>
          <w:b/>
          <w:sz w:val="22"/>
          <w:szCs w:val="22"/>
        </w:rPr>
      </w:pPr>
    </w:p>
    <w:p w14:paraId="6A93B1DC" w14:textId="6BA80CC0"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lastRenderedPageBreak/>
        <w:t xml:space="preserve">All costs and expenses incurred by </w:t>
      </w:r>
      <w:r w:rsidR="00252DEC" w:rsidRPr="00CA6930">
        <w:rPr>
          <w:rFonts w:ascii="Arial" w:hAnsi="Arial" w:cs="Arial"/>
          <w:sz w:val="22"/>
          <w:szCs w:val="22"/>
        </w:rPr>
        <w:t>a</w:t>
      </w:r>
      <w:r w:rsidRPr="00CA6930">
        <w:rPr>
          <w:rFonts w:ascii="Arial" w:hAnsi="Arial" w:cs="Arial"/>
          <w:sz w:val="22"/>
          <w:szCs w:val="22"/>
        </w:rPr>
        <w:t>pplicants relating to and including the engagement of design consultants, securing planning permission, etc. is to be considered as ‘work at risk’ and no recovery of any costs from</w:t>
      </w:r>
      <w:r w:rsidR="0077174A">
        <w:rPr>
          <w:rFonts w:ascii="Arial" w:hAnsi="Arial" w:cs="Arial"/>
          <w:sz w:val="22"/>
          <w:szCs w:val="22"/>
        </w:rPr>
        <w:t xml:space="preserve"> Meath County Council </w:t>
      </w:r>
      <w:r w:rsidRPr="00CA6930">
        <w:rPr>
          <w:rFonts w:ascii="Arial" w:hAnsi="Arial" w:cs="Arial"/>
          <w:sz w:val="22"/>
          <w:szCs w:val="22"/>
        </w:rPr>
        <w:t xml:space="preserve">will be entertained. </w:t>
      </w:r>
      <w:r w:rsidR="0077174A">
        <w:rPr>
          <w:rFonts w:ascii="Arial" w:hAnsi="Arial" w:cs="Arial"/>
          <w:sz w:val="22"/>
          <w:szCs w:val="22"/>
        </w:rPr>
        <w:t xml:space="preserve">Meath County Council </w:t>
      </w:r>
      <w:r w:rsidRPr="00CA6930">
        <w:rPr>
          <w:rFonts w:ascii="Arial" w:hAnsi="Arial" w:cs="Arial"/>
          <w:sz w:val="22"/>
          <w:szCs w:val="22"/>
        </w:rPr>
        <w:t xml:space="preserve">will have no financial liability prior to the signing of a contract. </w:t>
      </w:r>
      <w:r w:rsidRPr="00CA6930">
        <w:rPr>
          <w:rFonts w:ascii="Arial" w:hAnsi="Arial" w:cs="Arial"/>
          <w:sz w:val="22"/>
          <w:szCs w:val="22"/>
        </w:rPr>
        <w:br/>
      </w:r>
    </w:p>
    <w:p w14:paraId="3F1B30BE" w14:textId="737AC4A8" w:rsidR="00B43FA4" w:rsidRDefault="00B43FA4" w:rsidP="00CA6930">
      <w:pPr>
        <w:pStyle w:val="Default"/>
        <w:spacing w:line="276" w:lineRule="auto"/>
        <w:jc w:val="both"/>
        <w:rPr>
          <w:b/>
          <w:sz w:val="22"/>
          <w:szCs w:val="22"/>
        </w:rPr>
      </w:pPr>
    </w:p>
    <w:p w14:paraId="47D75FCF" w14:textId="20D98D96" w:rsidR="004744E8" w:rsidRDefault="004744E8" w:rsidP="00CA6930">
      <w:pPr>
        <w:pStyle w:val="Default"/>
        <w:spacing w:line="276" w:lineRule="auto"/>
        <w:jc w:val="both"/>
        <w:rPr>
          <w:b/>
          <w:sz w:val="22"/>
          <w:szCs w:val="22"/>
        </w:rPr>
      </w:pPr>
    </w:p>
    <w:p w14:paraId="551970DC" w14:textId="030FDB0F" w:rsidR="004744E8" w:rsidRDefault="004744E8" w:rsidP="00CA6930">
      <w:pPr>
        <w:pStyle w:val="Default"/>
        <w:spacing w:line="276" w:lineRule="auto"/>
        <w:jc w:val="both"/>
        <w:rPr>
          <w:b/>
          <w:sz w:val="22"/>
          <w:szCs w:val="22"/>
        </w:rPr>
      </w:pPr>
    </w:p>
    <w:p w14:paraId="125372A5" w14:textId="7E3880FF" w:rsidR="004744E8" w:rsidRDefault="004744E8" w:rsidP="00CA6930">
      <w:pPr>
        <w:pStyle w:val="Default"/>
        <w:spacing w:line="276" w:lineRule="auto"/>
        <w:jc w:val="both"/>
        <w:rPr>
          <w:b/>
          <w:sz w:val="22"/>
          <w:szCs w:val="22"/>
        </w:rPr>
      </w:pPr>
    </w:p>
    <w:p w14:paraId="58B9AE4C" w14:textId="77777777" w:rsidR="004744E8" w:rsidRPr="00CA6930" w:rsidRDefault="004744E8" w:rsidP="00CA6930">
      <w:pPr>
        <w:pStyle w:val="Default"/>
        <w:spacing w:line="276" w:lineRule="auto"/>
        <w:jc w:val="both"/>
        <w:rPr>
          <w:b/>
          <w:sz w:val="22"/>
          <w:szCs w:val="22"/>
        </w:rPr>
      </w:pPr>
    </w:p>
    <w:p w14:paraId="1129D17A" w14:textId="0BF54B95" w:rsidR="00B43FA4" w:rsidRPr="00CA6930" w:rsidRDefault="00D71E83" w:rsidP="00CA6930">
      <w:pPr>
        <w:pStyle w:val="Heading2"/>
        <w:spacing w:line="276" w:lineRule="auto"/>
        <w:rPr>
          <w:sz w:val="22"/>
          <w:szCs w:val="22"/>
        </w:rPr>
      </w:pPr>
      <w:bookmarkStart w:id="20" w:name="_Toc86343283"/>
      <w:bookmarkStart w:id="21" w:name="_Toc88063367"/>
      <w:r w:rsidRPr="00CA6930">
        <w:rPr>
          <w:sz w:val="22"/>
          <w:szCs w:val="22"/>
        </w:rPr>
        <w:t>Confidentiality</w:t>
      </w:r>
      <w:bookmarkEnd w:id="20"/>
      <w:bookmarkEnd w:id="21"/>
    </w:p>
    <w:p w14:paraId="0C55F0BE" w14:textId="77777777" w:rsidR="00B43FA4" w:rsidRPr="00CA6930" w:rsidRDefault="00B43FA4" w:rsidP="00CA6930">
      <w:pPr>
        <w:pStyle w:val="Default"/>
        <w:spacing w:line="276" w:lineRule="auto"/>
        <w:ind w:left="720"/>
        <w:jc w:val="both"/>
        <w:rPr>
          <w:sz w:val="22"/>
          <w:szCs w:val="22"/>
        </w:rPr>
      </w:pPr>
      <w:r w:rsidRPr="00CA6930">
        <w:rPr>
          <w:b/>
          <w:sz w:val="22"/>
          <w:szCs w:val="22"/>
        </w:rPr>
        <w:t xml:space="preserve"> </w:t>
      </w:r>
    </w:p>
    <w:p w14:paraId="58015E12" w14:textId="7E6ADFB2" w:rsidR="00B43FA4" w:rsidRPr="00CA6930" w:rsidRDefault="0077174A" w:rsidP="00CA6930">
      <w:pPr>
        <w:spacing w:line="276" w:lineRule="auto"/>
        <w:rPr>
          <w:rFonts w:ascii="Arial" w:hAnsi="Arial" w:cs="Arial"/>
          <w:sz w:val="22"/>
          <w:szCs w:val="22"/>
        </w:rPr>
      </w:pPr>
      <w:r>
        <w:rPr>
          <w:rFonts w:ascii="Arial" w:hAnsi="Arial" w:cs="Arial"/>
          <w:sz w:val="22"/>
          <w:szCs w:val="22"/>
        </w:rPr>
        <w:t xml:space="preserve">Meath County Council </w:t>
      </w:r>
      <w:r w:rsidR="00B43FA4" w:rsidRPr="00CA6930">
        <w:rPr>
          <w:rFonts w:ascii="Arial" w:hAnsi="Arial" w:cs="Arial"/>
          <w:sz w:val="22"/>
          <w:szCs w:val="22"/>
        </w:rPr>
        <w:t xml:space="preserve">will use its best efforts to hold confidential any information provided by proposers, subject to its obligations under law, including the Freedom of Information Act 1997 and 2003. </w:t>
      </w:r>
      <w:r w:rsidR="00D71E83" w:rsidRPr="00CA6930">
        <w:rPr>
          <w:rFonts w:ascii="Arial" w:hAnsi="Arial" w:cs="Arial"/>
          <w:sz w:val="22"/>
          <w:szCs w:val="22"/>
        </w:rPr>
        <w:t>[</w:t>
      </w:r>
      <w:r w:rsidR="00917A89" w:rsidRPr="00CA6930">
        <w:rPr>
          <w:rFonts w:ascii="Arial" w:hAnsi="Arial" w:cs="Arial"/>
          <w:sz w:val="22"/>
          <w:szCs w:val="22"/>
        </w:rPr>
        <w:t>LA</w:t>
      </w:r>
      <w:r w:rsidR="00D71E83" w:rsidRPr="00CA6930">
        <w:rPr>
          <w:rFonts w:ascii="Arial" w:hAnsi="Arial" w:cs="Arial"/>
          <w:sz w:val="22"/>
          <w:szCs w:val="22"/>
        </w:rPr>
        <w:t>]</w:t>
      </w:r>
      <w:r w:rsidR="00B43FA4" w:rsidRPr="00CA6930">
        <w:rPr>
          <w:rFonts w:ascii="Arial" w:hAnsi="Arial" w:cs="Arial"/>
          <w:sz w:val="22"/>
          <w:szCs w:val="22"/>
        </w:rPr>
        <w:t xml:space="preserve"> will consult with proposers about sensitive information before deciding on any FOI request received. Similarly, </w:t>
      </w:r>
      <w:r>
        <w:rPr>
          <w:rFonts w:ascii="Arial" w:hAnsi="Arial" w:cs="Arial"/>
          <w:sz w:val="22"/>
          <w:szCs w:val="22"/>
        </w:rPr>
        <w:t xml:space="preserve">Meath County Council </w:t>
      </w:r>
      <w:r w:rsidR="00B43FA4" w:rsidRPr="00CA6930">
        <w:rPr>
          <w:rFonts w:ascii="Arial" w:hAnsi="Arial" w:cs="Arial"/>
          <w:sz w:val="22"/>
          <w:szCs w:val="22"/>
        </w:rPr>
        <w:t xml:space="preserve">requires that all information provided pursuant to this invitation will be treated in strict confidence by tenderers. </w:t>
      </w:r>
    </w:p>
    <w:p w14:paraId="4782C975" w14:textId="77777777" w:rsidR="00B43FA4" w:rsidRPr="00CA6930" w:rsidRDefault="00B43FA4" w:rsidP="00CA6930">
      <w:pPr>
        <w:spacing w:line="276" w:lineRule="auto"/>
        <w:rPr>
          <w:rFonts w:ascii="Arial" w:hAnsi="Arial" w:cs="Arial"/>
          <w:sz w:val="22"/>
          <w:szCs w:val="22"/>
        </w:rPr>
      </w:pPr>
    </w:p>
    <w:p w14:paraId="7F775D13" w14:textId="762B972E" w:rsidR="00B43FA4" w:rsidRPr="00CA6930" w:rsidRDefault="00D71E83" w:rsidP="00CA6930">
      <w:pPr>
        <w:pStyle w:val="Heading2"/>
        <w:spacing w:line="276" w:lineRule="auto"/>
        <w:rPr>
          <w:sz w:val="22"/>
          <w:szCs w:val="22"/>
        </w:rPr>
      </w:pPr>
      <w:bookmarkStart w:id="22" w:name="_Toc86343284"/>
      <w:bookmarkStart w:id="23" w:name="_Toc88063368"/>
      <w:r w:rsidRPr="00CA6930">
        <w:rPr>
          <w:sz w:val="22"/>
          <w:szCs w:val="22"/>
        </w:rPr>
        <w:t>Irish legislation</w:t>
      </w:r>
      <w:bookmarkEnd w:id="22"/>
      <w:bookmarkEnd w:id="23"/>
    </w:p>
    <w:p w14:paraId="213A9E5C" w14:textId="77777777" w:rsidR="00B43FA4" w:rsidRPr="00CA6930" w:rsidRDefault="00B43FA4" w:rsidP="00CA6930">
      <w:pPr>
        <w:pStyle w:val="Default"/>
        <w:spacing w:line="276" w:lineRule="auto"/>
        <w:jc w:val="both"/>
        <w:rPr>
          <w:b/>
          <w:sz w:val="22"/>
          <w:szCs w:val="22"/>
        </w:rPr>
      </w:pPr>
    </w:p>
    <w:p w14:paraId="60D9FE05" w14:textId="77777777"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Applicants should be aware that national legislation applies in other matters such as Official Secrets, Data Protection and Health and Safety. </w:t>
      </w:r>
    </w:p>
    <w:p w14:paraId="25F2F46A" w14:textId="77777777" w:rsidR="00B43FA4" w:rsidRPr="00CA6930" w:rsidRDefault="00B43FA4" w:rsidP="00CA6930">
      <w:pPr>
        <w:spacing w:line="276" w:lineRule="auto"/>
        <w:rPr>
          <w:rFonts w:ascii="Arial" w:hAnsi="Arial" w:cs="Arial"/>
          <w:sz w:val="22"/>
          <w:szCs w:val="22"/>
        </w:rPr>
      </w:pPr>
    </w:p>
    <w:p w14:paraId="570829D4" w14:textId="3F6F9DFF" w:rsidR="00252DEC" w:rsidRPr="00CA6930" w:rsidRDefault="00B43FA4" w:rsidP="00CA6930">
      <w:pPr>
        <w:pStyle w:val="Default"/>
        <w:spacing w:line="276" w:lineRule="auto"/>
        <w:rPr>
          <w:sz w:val="22"/>
          <w:szCs w:val="22"/>
        </w:rPr>
      </w:pPr>
      <w:r w:rsidRPr="00CA6930">
        <w:rPr>
          <w:sz w:val="22"/>
          <w:szCs w:val="22"/>
        </w:rPr>
        <w:t xml:space="preserve">Applicants must have regard to statutory terms relating to minimum pay and to legally binding industrial or sectorial agreements in formulating proposals. </w:t>
      </w:r>
      <w:r w:rsidRPr="00CA6930">
        <w:rPr>
          <w:sz w:val="22"/>
          <w:szCs w:val="22"/>
        </w:rPr>
        <w:br/>
      </w:r>
    </w:p>
    <w:p w14:paraId="417F5386" w14:textId="77777777" w:rsidR="00252DEC" w:rsidRPr="00CA6930" w:rsidRDefault="00252DEC" w:rsidP="00CA6930">
      <w:pPr>
        <w:pStyle w:val="Default"/>
        <w:spacing w:line="276" w:lineRule="auto"/>
        <w:rPr>
          <w:sz w:val="22"/>
          <w:szCs w:val="22"/>
        </w:rPr>
      </w:pPr>
    </w:p>
    <w:p w14:paraId="08A847D0" w14:textId="7934AA0F" w:rsidR="00B43FA4" w:rsidRPr="00CA6930" w:rsidRDefault="00D71E83" w:rsidP="00CA6930">
      <w:pPr>
        <w:pStyle w:val="Heading2"/>
        <w:spacing w:line="276" w:lineRule="auto"/>
        <w:rPr>
          <w:sz w:val="22"/>
          <w:szCs w:val="22"/>
        </w:rPr>
      </w:pPr>
      <w:bookmarkStart w:id="24" w:name="_Toc86343285"/>
      <w:bookmarkStart w:id="25" w:name="_Toc88063369"/>
      <w:r w:rsidRPr="00CA6930">
        <w:rPr>
          <w:sz w:val="22"/>
          <w:szCs w:val="22"/>
        </w:rPr>
        <w:t>Meetings</w:t>
      </w:r>
      <w:bookmarkEnd w:id="24"/>
      <w:bookmarkEnd w:id="25"/>
      <w:r w:rsidRPr="00CA6930">
        <w:rPr>
          <w:sz w:val="22"/>
          <w:szCs w:val="22"/>
        </w:rPr>
        <w:t xml:space="preserve"> </w:t>
      </w:r>
    </w:p>
    <w:p w14:paraId="3AD79C67" w14:textId="77777777" w:rsidR="00B43FA4" w:rsidRPr="00CA6930" w:rsidRDefault="00B43FA4" w:rsidP="00CA6930">
      <w:pPr>
        <w:pStyle w:val="Default"/>
        <w:spacing w:line="276" w:lineRule="auto"/>
        <w:jc w:val="both"/>
        <w:rPr>
          <w:sz w:val="22"/>
          <w:szCs w:val="22"/>
        </w:rPr>
      </w:pPr>
    </w:p>
    <w:p w14:paraId="7C97EAD7" w14:textId="3CDE6C9B" w:rsidR="00B43FA4" w:rsidRPr="00CA6930" w:rsidRDefault="00D71E83" w:rsidP="00CA6930">
      <w:pPr>
        <w:spacing w:line="276" w:lineRule="auto"/>
        <w:rPr>
          <w:rFonts w:ascii="Arial" w:hAnsi="Arial" w:cs="Arial"/>
          <w:sz w:val="22"/>
          <w:szCs w:val="22"/>
        </w:rPr>
      </w:pPr>
      <w:r w:rsidRPr="00CA6930">
        <w:rPr>
          <w:rFonts w:ascii="Arial" w:hAnsi="Arial" w:cs="Arial"/>
          <w:sz w:val="22"/>
          <w:szCs w:val="22"/>
        </w:rPr>
        <w:t>[</w:t>
      </w:r>
      <w:r w:rsidR="00917A89" w:rsidRPr="00CA6930">
        <w:rPr>
          <w:rFonts w:ascii="Arial" w:hAnsi="Arial" w:cs="Arial"/>
          <w:sz w:val="22"/>
          <w:szCs w:val="22"/>
        </w:rPr>
        <w:t>LA</w:t>
      </w:r>
      <w:r w:rsidRPr="00CA6930">
        <w:rPr>
          <w:rFonts w:ascii="Arial" w:hAnsi="Arial" w:cs="Arial"/>
          <w:sz w:val="22"/>
          <w:szCs w:val="22"/>
        </w:rPr>
        <w:t>]</w:t>
      </w:r>
      <w:r w:rsidR="00B43FA4" w:rsidRPr="00CA6930">
        <w:rPr>
          <w:rFonts w:ascii="Arial" w:hAnsi="Arial" w:cs="Arial"/>
          <w:sz w:val="22"/>
          <w:szCs w:val="22"/>
        </w:rPr>
        <w:t xml:space="preserve"> reserves the right to meet with Proposers if considered necessary, for the purposes of clarification of information received as part of the submission. </w:t>
      </w:r>
      <w:r w:rsidR="00B43FA4" w:rsidRPr="00CA6930">
        <w:rPr>
          <w:rFonts w:ascii="Arial" w:hAnsi="Arial" w:cs="Arial"/>
          <w:sz w:val="22"/>
          <w:szCs w:val="22"/>
        </w:rPr>
        <w:br/>
      </w:r>
    </w:p>
    <w:p w14:paraId="6B19289F" w14:textId="77777777" w:rsidR="00B43FA4" w:rsidRPr="00CA6930" w:rsidRDefault="00B43FA4" w:rsidP="00CA6930">
      <w:pPr>
        <w:pStyle w:val="Default"/>
        <w:spacing w:line="276" w:lineRule="auto"/>
        <w:jc w:val="both"/>
        <w:rPr>
          <w:sz w:val="22"/>
          <w:szCs w:val="22"/>
        </w:rPr>
      </w:pPr>
    </w:p>
    <w:p w14:paraId="3F3858F8" w14:textId="3BCD3C68" w:rsidR="00B43FA4" w:rsidRPr="00CA6930" w:rsidRDefault="00D71E83" w:rsidP="00CA6930">
      <w:pPr>
        <w:pStyle w:val="Heading2"/>
        <w:spacing w:line="276" w:lineRule="auto"/>
        <w:rPr>
          <w:sz w:val="22"/>
          <w:szCs w:val="22"/>
        </w:rPr>
      </w:pPr>
      <w:bookmarkStart w:id="26" w:name="_Toc86343286"/>
      <w:bookmarkStart w:id="27" w:name="_Toc88063370"/>
      <w:r w:rsidRPr="00CA6930">
        <w:rPr>
          <w:sz w:val="22"/>
          <w:szCs w:val="22"/>
        </w:rPr>
        <w:t>Conflict of interest</w:t>
      </w:r>
      <w:bookmarkEnd w:id="26"/>
      <w:bookmarkEnd w:id="27"/>
      <w:r w:rsidRPr="00CA6930">
        <w:rPr>
          <w:sz w:val="22"/>
          <w:szCs w:val="22"/>
        </w:rPr>
        <w:t xml:space="preserve"> </w:t>
      </w:r>
    </w:p>
    <w:p w14:paraId="6FB9E9A6" w14:textId="77777777" w:rsidR="00B43FA4" w:rsidRPr="00CA6930" w:rsidRDefault="00B43FA4" w:rsidP="00CA6930">
      <w:pPr>
        <w:pStyle w:val="Default"/>
        <w:spacing w:line="276" w:lineRule="auto"/>
        <w:jc w:val="both"/>
        <w:rPr>
          <w:sz w:val="22"/>
          <w:szCs w:val="22"/>
        </w:rPr>
      </w:pPr>
    </w:p>
    <w:p w14:paraId="4A45710D" w14:textId="25F212E8"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Any conflict of interest or potential conflict of interest on the part of an Applicant, individual employees, agents, or subcontractors of an Applicant must be fully disclosed to</w:t>
      </w:r>
      <w:r w:rsidR="0077174A">
        <w:rPr>
          <w:rFonts w:ascii="Arial" w:hAnsi="Arial" w:cs="Arial"/>
          <w:sz w:val="22"/>
          <w:szCs w:val="22"/>
        </w:rPr>
        <w:t xml:space="preserve"> Meath County Council</w:t>
      </w:r>
      <w:r w:rsidRPr="00CA6930">
        <w:rPr>
          <w:rFonts w:ascii="Arial" w:hAnsi="Arial" w:cs="Arial"/>
          <w:sz w:val="22"/>
          <w:szCs w:val="22"/>
        </w:rPr>
        <w:t xml:space="preserve"> as soon as the conflict or potential conflict is or becomes apparent. In the event of any conflict or potential conflict of interest, the </w:t>
      </w:r>
      <w:r w:rsidR="00917A89" w:rsidRPr="00CA6930">
        <w:rPr>
          <w:rFonts w:ascii="Arial" w:hAnsi="Arial" w:cs="Arial"/>
          <w:sz w:val="22"/>
          <w:szCs w:val="22"/>
        </w:rPr>
        <w:t>L</w:t>
      </w:r>
      <w:r w:rsidR="005A3AA4">
        <w:rPr>
          <w:rFonts w:ascii="Arial" w:hAnsi="Arial" w:cs="Arial"/>
          <w:sz w:val="22"/>
          <w:szCs w:val="22"/>
        </w:rPr>
        <w:t>ocal Authority</w:t>
      </w:r>
      <w:r w:rsidRPr="00CA6930">
        <w:rPr>
          <w:rFonts w:ascii="Arial" w:hAnsi="Arial" w:cs="Arial"/>
          <w:sz w:val="22"/>
          <w:szCs w:val="22"/>
        </w:rPr>
        <w:t xml:space="preserve"> may invite </w:t>
      </w:r>
      <w:r w:rsidR="003D1C62" w:rsidRPr="00CA6930">
        <w:rPr>
          <w:rFonts w:ascii="Arial" w:hAnsi="Arial" w:cs="Arial"/>
          <w:sz w:val="22"/>
          <w:szCs w:val="22"/>
        </w:rPr>
        <w:t>A</w:t>
      </w:r>
      <w:r w:rsidRPr="00CA6930">
        <w:rPr>
          <w:rFonts w:ascii="Arial" w:hAnsi="Arial" w:cs="Arial"/>
          <w:sz w:val="22"/>
          <w:szCs w:val="22"/>
        </w:rPr>
        <w:t xml:space="preserve">pplicants to propose means by which the conflict might be removed. The </w:t>
      </w:r>
      <w:r w:rsidR="00917A89" w:rsidRPr="00CA6930">
        <w:rPr>
          <w:rFonts w:ascii="Arial" w:hAnsi="Arial" w:cs="Arial"/>
          <w:sz w:val="22"/>
          <w:szCs w:val="22"/>
        </w:rPr>
        <w:t>L</w:t>
      </w:r>
      <w:r w:rsidR="005A3AA4">
        <w:rPr>
          <w:rFonts w:ascii="Arial" w:hAnsi="Arial" w:cs="Arial"/>
          <w:sz w:val="22"/>
          <w:szCs w:val="22"/>
        </w:rPr>
        <w:t xml:space="preserve">ocal </w:t>
      </w:r>
      <w:r w:rsidR="0077174A">
        <w:rPr>
          <w:rFonts w:ascii="Arial" w:hAnsi="Arial" w:cs="Arial"/>
          <w:sz w:val="22"/>
          <w:szCs w:val="22"/>
        </w:rPr>
        <w:t>Authority</w:t>
      </w:r>
      <w:r w:rsidRPr="00CA6930">
        <w:rPr>
          <w:rFonts w:ascii="Arial" w:hAnsi="Arial" w:cs="Arial"/>
          <w:sz w:val="22"/>
          <w:szCs w:val="22"/>
        </w:rPr>
        <w:t xml:space="preserve"> will, at its absolute discretion, decide on the appropriate course of action, which may in appropriate circumstances, include eliminating an Applicant from the process or terminating any contract entered into by an Applicant. </w:t>
      </w:r>
    </w:p>
    <w:p w14:paraId="650EE15A" w14:textId="77777777" w:rsidR="00B43FA4" w:rsidRPr="00CA6930" w:rsidRDefault="00B43FA4" w:rsidP="00CA6930">
      <w:pPr>
        <w:pStyle w:val="Default"/>
        <w:spacing w:line="276" w:lineRule="auto"/>
        <w:rPr>
          <w:sz w:val="22"/>
          <w:szCs w:val="22"/>
        </w:rPr>
      </w:pPr>
    </w:p>
    <w:p w14:paraId="06E82D8A" w14:textId="77777777" w:rsidR="00B43FA4" w:rsidRPr="00CA6930" w:rsidRDefault="00B43FA4" w:rsidP="00CA6930">
      <w:pPr>
        <w:pStyle w:val="Default"/>
        <w:spacing w:line="276" w:lineRule="auto"/>
        <w:rPr>
          <w:sz w:val="22"/>
          <w:szCs w:val="22"/>
        </w:rPr>
      </w:pPr>
    </w:p>
    <w:p w14:paraId="1427B391" w14:textId="3DE63EFA" w:rsidR="00B43FA4" w:rsidRPr="00CA6930" w:rsidRDefault="00D71E83" w:rsidP="00CA6930">
      <w:pPr>
        <w:pStyle w:val="Heading2"/>
        <w:spacing w:line="276" w:lineRule="auto"/>
        <w:rPr>
          <w:sz w:val="22"/>
          <w:szCs w:val="22"/>
        </w:rPr>
      </w:pPr>
      <w:bookmarkStart w:id="28" w:name="_Toc86343287"/>
      <w:bookmarkStart w:id="29" w:name="_Toc88063371"/>
      <w:r w:rsidRPr="00CA6930">
        <w:rPr>
          <w:sz w:val="22"/>
          <w:szCs w:val="22"/>
        </w:rPr>
        <w:t>Applicant exclusion</w:t>
      </w:r>
      <w:bookmarkEnd w:id="28"/>
      <w:bookmarkEnd w:id="29"/>
      <w:r w:rsidRPr="00CA6930">
        <w:rPr>
          <w:sz w:val="22"/>
          <w:szCs w:val="22"/>
        </w:rPr>
        <w:t xml:space="preserve"> </w:t>
      </w:r>
    </w:p>
    <w:p w14:paraId="52209080" w14:textId="77777777" w:rsidR="00B43FA4" w:rsidRPr="00CA6930" w:rsidRDefault="00B43FA4" w:rsidP="00CA6930">
      <w:pPr>
        <w:pStyle w:val="Default"/>
        <w:spacing w:line="276" w:lineRule="auto"/>
        <w:jc w:val="both"/>
        <w:rPr>
          <w:sz w:val="22"/>
          <w:szCs w:val="22"/>
        </w:rPr>
      </w:pPr>
    </w:p>
    <w:p w14:paraId="46545BA3" w14:textId="706336C9"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 </w:t>
      </w:r>
      <w:r w:rsidR="003D1C62" w:rsidRPr="00CA6930">
        <w:rPr>
          <w:rFonts w:ascii="Arial" w:hAnsi="Arial" w:cs="Arial"/>
          <w:sz w:val="22"/>
          <w:szCs w:val="22"/>
        </w:rPr>
        <w:t>A</w:t>
      </w:r>
      <w:r w:rsidRPr="00CA6930">
        <w:rPr>
          <w:rFonts w:ascii="Arial" w:hAnsi="Arial" w:cs="Arial"/>
          <w:sz w:val="22"/>
          <w:szCs w:val="22"/>
        </w:rPr>
        <w:t>pplicant shall be excluded if, to</w:t>
      </w:r>
      <w:r w:rsidR="0077174A">
        <w:rPr>
          <w:rFonts w:ascii="Arial" w:hAnsi="Arial" w:cs="Arial"/>
          <w:sz w:val="22"/>
          <w:szCs w:val="22"/>
        </w:rPr>
        <w:t xml:space="preserve"> Meath County Council </w:t>
      </w:r>
      <w:r w:rsidRPr="00CA6930">
        <w:rPr>
          <w:rFonts w:ascii="Arial" w:hAnsi="Arial" w:cs="Arial"/>
          <w:sz w:val="22"/>
          <w:szCs w:val="22"/>
        </w:rPr>
        <w:t>knowledge at the time of the award decision, it has been convicted of an offence involving participation in a proscribed criminal organisation or corruption, fraud or money laundering.</w:t>
      </w:r>
    </w:p>
    <w:p w14:paraId="2D4C4D97" w14:textId="77777777" w:rsidR="00B43FA4" w:rsidRPr="00CA6930" w:rsidRDefault="00B43FA4" w:rsidP="00CA6930">
      <w:pPr>
        <w:pStyle w:val="Default"/>
        <w:spacing w:line="276" w:lineRule="auto"/>
        <w:jc w:val="both"/>
        <w:rPr>
          <w:sz w:val="22"/>
          <w:szCs w:val="22"/>
        </w:rPr>
      </w:pPr>
    </w:p>
    <w:p w14:paraId="6349575F" w14:textId="0819C4E0"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 </w:t>
      </w:r>
      <w:r w:rsidR="003D1C62" w:rsidRPr="00CA6930">
        <w:rPr>
          <w:rFonts w:ascii="Arial" w:hAnsi="Arial" w:cs="Arial"/>
          <w:sz w:val="22"/>
          <w:szCs w:val="22"/>
        </w:rPr>
        <w:t>A</w:t>
      </w:r>
      <w:r w:rsidRPr="00CA6930">
        <w:rPr>
          <w:rFonts w:ascii="Arial" w:hAnsi="Arial" w:cs="Arial"/>
          <w:sz w:val="22"/>
          <w:szCs w:val="22"/>
        </w:rPr>
        <w:t>pplicant may be excluded if s/he:</w:t>
      </w:r>
    </w:p>
    <w:p w14:paraId="64456E38" w14:textId="77777777" w:rsidR="00D71E83" w:rsidRPr="00CA6930" w:rsidRDefault="00D71E83" w:rsidP="00CA6930">
      <w:pPr>
        <w:spacing w:line="276" w:lineRule="auto"/>
        <w:rPr>
          <w:rFonts w:ascii="Arial" w:hAnsi="Arial" w:cs="Arial"/>
          <w:sz w:val="22"/>
          <w:szCs w:val="22"/>
        </w:rPr>
      </w:pPr>
    </w:p>
    <w:p w14:paraId="0FA9B639" w14:textId="5FA285D0" w:rsidR="00B43FA4" w:rsidRPr="00CA6930" w:rsidRDefault="00F2081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i</w:t>
      </w:r>
      <w:r w:rsidR="00B43FA4" w:rsidRPr="00CA6930">
        <w:rPr>
          <w:rFonts w:ascii="Arial" w:hAnsi="Arial" w:cs="Arial"/>
          <w:sz w:val="22"/>
          <w:szCs w:val="22"/>
        </w:rPr>
        <w:t xml:space="preserve">s subject to a bankruptcy or insolvency procedure or process of a kind specified in Regulation 53, paragraph (5) of the European Communities (Award of Public Authorities’ Contracts) Regulations 2006 or </w:t>
      </w:r>
    </w:p>
    <w:p w14:paraId="7CC072F5" w14:textId="00700479"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been found guilty of professional misconduct by a competent authority that is authorised by law to hear and determine allegations of professional misconduct against persons that include the Applicant or has committed grave professional misconduct provable by means that </w:t>
      </w:r>
      <w:r w:rsidR="005A3AA4">
        <w:rPr>
          <w:rFonts w:ascii="Arial" w:hAnsi="Arial" w:cs="Arial"/>
          <w:sz w:val="22"/>
          <w:szCs w:val="22"/>
        </w:rPr>
        <w:t>the Local Authority</w:t>
      </w:r>
      <w:r w:rsidRPr="00CA6930">
        <w:rPr>
          <w:rFonts w:ascii="Arial" w:hAnsi="Arial" w:cs="Arial"/>
          <w:sz w:val="22"/>
          <w:szCs w:val="22"/>
        </w:rPr>
        <w:t xml:space="preserve"> can demonstrate or </w:t>
      </w:r>
    </w:p>
    <w:p w14:paraId="7E07216D" w14:textId="77777777"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not fulfilled an obligation to pay a social security contribution as required by a law of Ireland or the country or territory where the Applicant ordinarily resides or carries on business or </w:t>
      </w:r>
    </w:p>
    <w:p w14:paraId="729A5FAF" w14:textId="77777777"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not fulfilled an obligation to pay a tax or levy imposed by or under a law of Ireland or the country or territory where the Applicant ordinarily resides or carries on business or </w:t>
      </w:r>
    </w:p>
    <w:p w14:paraId="2755BDFA" w14:textId="45ED1264" w:rsidR="00B43FA4" w:rsidRPr="00CA6930" w:rsidRDefault="00B43FA4" w:rsidP="00CA6930">
      <w:pPr>
        <w:pStyle w:val="ListParagraph"/>
        <w:numPr>
          <w:ilvl w:val="0"/>
          <w:numId w:val="25"/>
        </w:numPr>
        <w:spacing w:line="276" w:lineRule="auto"/>
        <w:rPr>
          <w:rFonts w:ascii="Arial" w:hAnsi="Arial" w:cs="Arial"/>
          <w:sz w:val="22"/>
          <w:szCs w:val="22"/>
        </w:rPr>
      </w:pPr>
      <w:r w:rsidRPr="00CA6930">
        <w:rPr>
          <w:rFonts w:ascii="Arial" w:hAnsi="Arial" w:cs="Arial"/>
          <w:sz w:val="22"/>
          <w:szCs w:val="22"/>
        </w:rPr>
        <w:t xml:space="preserve">has provided a statement or information to </w:t>
      </w:r>
      <w:r w:rsidR="002F1342">
        <w:rPr>
          <w:rFonts w:ascii="Arial" w:hAnsi="Arial" w:cs="Arial"/>
          <w:sz w:val="22"/>
          <w:szCs w:val="22"/>
        </w:rPr>
        <w:t>the Local Authority</w:t>
      </w:r>
      <w:r w:rsidRPr="00CA6930">
        <w:rPr>
          <w:rFonts w:ascii="Arial" w:hAnsi="Arial" w:cs="Arial"/>
          <w:sz w:val="22"/>
          <w:szCs w:val="22"/>
        </w:rPr>
        <w:t xml:space="preserve"> or another contracting authority knowing it to be false or misleading or has failed to provide to </w:t>
      </w:r>
      <w:r w:rsidR="002F1342">
        <w:rPr>
          <w:rFonts w:ascii="Arial" w:hAnsi="Arial" w:cs="Arial"/>
          <w:sz w:val="22"/>
          <w:szCs w:val="22"/>
        </w:rPr>
        <w:t>the Local Authority</w:t>
      </w:r>
      <w:r w:rsidRPr="00CA6930">
        <w:rPr>
          <w:rFonts w:ascii="Arial" w:hAnsi="Arial" w:cs="Arial"/>
          <w:sz w:val="22"/>
          <w:szCs w:val="22"/>
        </w:rPr>
        <w:t xml:space="preserve"> or another such authority, a statement or information that is reasonably required by </w:t>
      </w:r>
      <w:r w:rsidR="002F1342">
        <w:rPr>
          <w:rFonts w:ascii="Arial" w:hAnsi="Arial" w:cs="Arial"/>
          <w:sz w:val="22"/>
          <w:szCs w:val="22"/>
        </w:rPr>
        <w:t xml:space="preserve">the Local Authority </w:t>
      </w:r>
      <w:r w:rsidRPr="00CA6930">
        <w:rPr>
          <w:rFonts w:ascii="Arial" w:hAnsi="Arial" w:cs="Arial"/>
          <w:sz w:val="22"/>
          <w:szCs w:val="22"/>
        </w:rPr>
        <w:t xml:space="preserve">or other authority for the purpose of awarding the public contract concerned. </w:t>
      </w:r>
    </w:p>
    <w:p w14:paraId="1B30F799" w14:textId="77777777" w:rsidR="00A71AEC" w:rsidRPr="00CA6930" w:rsidRDefault="00A71AEC" w:rsidP="00CA6930">
      <w:pPr>
        <w:spacing w:line="276" w:lineRule="auto"/>
        <w:rPr>
          <w:rFonts w:ascii="Arial" w:hAnsi="Arial" w:cs="Arial"/>
          <w:sz w:val="22"/>
          <w:szCs w:val="22"/>
        </w:rPr>
      </w:pPr>
    </w:p>
    <w:p w14:paraId="1EE521E1" w14:textId="0ED12B45" w:rsidR="00A71AEC" w:rsidRDefault="00A71AEC" w:rsidP="00CA6930">
      <w:pPr>
        <w:pStyle w:val="Heading2"/>
        <w:spacing w:line="276" w:lineRule="auto"/>
        <w:rPr>
          <w:sz w:val="22"/>
          <w:szCs w:val="22"/>
        </w:rPr>
      </w:pPr>
      <w:bookmarkStart w:id="30" w:name="_Toc88063372"/>
      <w:r w:rsidRPr="00CA6930">
        <w:rPr>
          <w:sz w:val="22"/>
          <w:szCs w:val="22"/>
        </w:rPr>
        <w:t>Funding Support</w:t>
      </w:r>
      <w:bookmarkEnd w:id="30"/>
    </w:p>
    <w:p w14:paraId="0975B6E2" w14:textId="77777777" w:rsidR="004744E8" w:rsidRPr="004744E8" w:rsidRDefault="004744E8" w:rsidP="004744E8">
      <w:pPr>
        <w:rPr>
          <w:lang w:eastAsia="en-US"/>
        </w:rPr>
      </w:pPr>
    </w:p>
    <w:p w14:paraId="68C02106" w14:textId="177A4339" w:rsidR="00AD001D" w:rsidRPr="00CA6930" w:rsidRDefault="00AD001D" w:rsidP="00CA6930">
      <w:pPr>
        <w:spacing w:line="276" w:lineRule="auto"/>
        <w:rPr>
          <w:rFonts w:ascii="Arial" w:hAnsi="Arial" w:cs="Arial"/>
          <w:sz w:val="22"/>
          <w:szCs w:val="22"/>
        </w:rPr>
      </w:pPr>
      <w:bookmarkStart w:id="31" w:name="_Toc86343288"/>
      <w:r w:rsidRPr="00CA6930">
        <w:rPr>
          <w:rFonts w:ascii="Arial" w:hAnsi="Arial" w:cs="Arial"/>
          <w:sz w:val="22"/>
          <w:szCs w:val="22"/>
        </w:rPr>
        <w:t xml:space="preserve">It may be noted that various funding parties have been informed of </w:t>
      </w:r>
      <w:r w:rsidR="00EE1EC7">
        <w:rPr>
          <w:rFonts w:ascii="Arial" w:hAnsi="Arial" w:cs="Arial"/>
        </w:rPr>
        <w:t xml:space="preserve">this call for </w:t>
      </w:r>
      <w:r w:rsidR="008A0FCC">
        <w:rPr>
          <w:rFonts w:ascii="Arial" w:hAnsi="Arial" w:cs="Arial"/>
        </w:rPr>
        <w:t>expression of interest</w:t>
      </w:r>
      <w:r w:rsidR="00B05304">
        <w:rPr>
          <w:rFonts w:ascii="Arial" w:hAnsi="Arial" w:cs="Arial"/>
        </w:rPr>
        <w:t>.</w:t>
      </w:r>
      <w:r w:rsidRPr="00D82C11">
        <w:rPr>
          <w:rFonts w:ascii="Arial" w:hAnsi="Arial" w:cs="Arial"/>
        </w:rPr>
        <w:t xml:space="preserve"> </w:t>
      </w:r>
      <w:r w:rsidR="00B05304">
        <w:rPr>
          <w:rFonts w:ascii="Arial" w:hAnsi="Arial" w:cs="Arial"/>
        </w:rPr>
        <w:t>T</w:t>
      </w:r>
      <w:r w:rsidRPr="00D82C11">
        <w:rPr>
          <w:rFonts w:ascii="Arial" w:hAnsi="Arial" w:cs="Arial"/>
        </w:rPr>
        <w:t>he</w:t>
      </w:r>
      <w:r w:rsidRPr="00CA6930">
        <w:rPr>
          <w:rFonts w:ascii="Arial" w:hAnsi="Arial" w:cs="Arial"/>
          <w:sz w:val="22"/>
          <w:szCs w:val="22"/>
        </w:rPr>
        <w:t xml:space="preserve"> Home Building Finance Ireland (HBFI) who have advised of their interest in supporting affordable housing delivery. </w:t>
      </w:r>
      <w:r w:rsidR="00CF3A19">
        <w:rPr>
          <w:rFonts w:ascii="Arial" w:hAnsi="Arial" w:cs="Arial"/>
        </w:rPr>
        <w:t>Funding</w:t>
      </w:r>
      <w:r w:rsidRPr="00CA6930">
        <w:rPr>
          <w:rFonts w:ascii="Arial" w:hAnsi="Arial" w:cs="Arial"/>
          <w:sz w:val="22"/>
          <w:szCs w:val="22"/>
        </w:rPr>
        <w:t xml:space="preserve"> may be available via the HBFI amongst other sources.</w:t>
      </w:r>
    </w:p>
    <w:p w14:paraId="29DC417D" w14:textId="2DBFC231" w:rsidR="008703D0" w:rsidRPr="00CA6930" w:rsidRDefault="008703D0" w:rsidP="00CA6930">
      <w:pPr>
        <w:spacing w:line="276" w:lineRule="auto"/>
        <w:rPr>
          <w:rFonts w:ascii="Arial" w:hAnsi="Arial" w:cs="Arial"/>
          <w:sz w:val="22"/>
          <w:szCs w:val="22"/>
        </w:rPr>
      </w:pPr>
      <w:r w:rsidRPr="00CA6930">
        <w:rPr>
          <w:rFonts w:ascii="Arial" w:hAnsi="Arial" w:cs="Arial"/>
          <w:sz w:val="22"/>
          <w:szCs w:val="22"/>
        </w:rPr>
        <w:br w:type="page"/>
      </w:r>
    </w:p>
    <w:p w14:paraId="2565D0A0" w14:textId="64AF083F" w:rsidR="00B43FA4" w:rsidRPr="00CA6930" w:rsidRDefault="00D71E83" w:rsidP="00CA6930">
      <w:pPr>
        <w:pStyle w:val="Heading2"/>
        <w:spacing w:line="276" w:lineRule="auto"/>
        <w:rPr>
          <w:sz w:val="22"/>
          <w:szCs w:val="22"/>
        </w:rPr>
      </w:pPr>
      <w:bookmarkStart w:id="32" w:name="_Toc88063373"/>
      <w:r w:rsidRPr="00CA6930">
        <w:rPr>
          <w:sz w:val="22"/>
          <w:szCs w:val="22"/>
        </w:rPr>
        <w:lastRenderedPageBreak/>
        <w:t>Queries</w:t>
      </w:r>
      <w:bookmarkEnd w:id="31"/>
      <w:bookmarkEnd w:id="32"/>
    </w:p>
    <w:p w14:paraId="4E014445" w14:textId="77777777" w:rsidR="00B43FA4" w:rsidRPr="00CA6930" w:rsidRDefault="00B43FA4" w:rsidP="00CA6930">
      <w:pPr>
        <w:pStyle w:val="Default"/>
        <w:spacing w:line="276" w:lineRule="auto"/>
        <w:jc w:val="both"/>
        <w:rPr>
          <w:sz w:val="22"/>
          <w:szCs w:val="22"/>
        </w:rPr>
      </w:pPr>
    </w:p>
    <w:p w14:paraId="08B5498C" w14:textId="47E6E786" w:rsidR="00D71E83"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Queries can be made by </w:t>
      </w:r>
      <w:r w:rsidR="008C3444" w:rsidRPr="00CA6930">
        <w:rPr>
          <w:rFonts w:ascii="Arial" w:hAnsi="Arial" w:cs="Arial"/>
          <w:sz w:val="22"/>
          <w:szCs w:val="22"/>
        </w:rPr>
        <w:t xml:space="preserve">submitting </w:t>
      </w:r>
      <w:r w:rsidRPr="00CA6930">
        <w:rPr>
          <w:rFonts w:ascii="Arial" w:hAnsi="Arial" w:cs="Arial"/>
          <w:sz w:val="22"/>
          <w:szCs w:val="22"/>
        </w:rPr>
        <w:t xml:space="preserve">questions </w:t>
      </w:r>
      <w:r w:rsidR="0077174A">
        <w:rPr>
          <w:rFonts w:ascii="Arial" w:hAnsi="Arial" w:cs="Arial"/>
          <w:sz w:val="22"/>
          <w:szCs w:val="22"/>
        </w:rPr>
        <w:t xml:space="preserve">to Paul O’ Sullivan </w:t>
      </w:r>
      <w:r w:rsidRPr="00CA6930">
        <w:rPr>
          <w:rFonts w:ascii="Arial" w:hAnsi="Arial" w:cs="Arial"/>
          <w:sz w:val="22"/>
          <w:szCs w:val="22"/>
        </w:rPr>
        <w:t>by email at</w:t>
      </w:r>
      <w:r w:rsidR="008C3444" w:rsidRPr="00CA6930">
        <w:rPr>
          <w:rFonts w:ascii="Arial" w:hAnsi="Arial" w:cs="Arial"/>
          <w:sz w:val="22"/>
          <w:szCs w:val="22"/>
        </w:rPr>
        <w:t xml:space="preserve"> </w:t>
      </w:r>
      <w:hyperlink r:id="rId14" w:history="1">
        <w:r w:rsidR="0077174A" w:rsidRPr="00F34DA2">
          <w:rPr>
            <w:rStyle w:val="Hyperlink"/>
            <w:rFonts w:ascii="Arial" w:hAnsi="Arial" w:cs="Arial"/>
            <w:sz w:val="22"/>
            <w:szCs w:val="22"/>
          </w:rPr>
          <w:t>paul.osullivan@meathcoco.ie</w:t>
        </w:r>
      </w:hyperlink>
      <w:r w:rsidR="0077174A">
        <w:rPr>
          <w:rFonts w:ascii="Arial" w:hAnsi="Arial" w:cs="Arial"/>
          <w:sz w:val="22"/>
          <w:szCs w:val="22"/>
        </w:rPr>
        <w:t xml:space="preserve"> </w:t>
      </w:r>
      <w:r w:rsidR="008C3444" w:rsidRPr="00CA6930">
        <w:rPr>
          <w:rFonts w:ascii="Arial" w:hAnsi="Arial" w:cs="Arial"/>
          <w:sz w:val="22"/>
          <w:szCs w:val="22"/>
        </w:rPr>
        <w:t>or by phone to</w:t>
      </w:r>
      <w:r w:rsidR="0077174A">
        <w:rPr>
          <w:rFonts w:ascii="Arial" w:hAnsi="Arial" w:cs="Arial"/>
          <w:sz w:val="22"/>
          <w:szCs w:val="22"/>
        </w:rPr>
        <w:t xml:space="preserve"> 046 9097257</w:t>
      </w:r>
    </w:p>
    <w:p w14:paraId="186E328C" w14:textId="77777777" w:rsidR="00D71E83" w:rsidRPr="00CA6930" w:rsidRDefault="00D71E83" w:rsidP="00CA6930">
      <w:pPr>
        <w:spacing w:line="276" w:lineRule="auto"/>
        <w:rPr>
          <w:rFonts w:ascii="Arial" w:hAnsi="Arial" w:cs="Arial"/>
          <w:sz w:val="22"/>
          <w:szCs w:val="22"/>
        </w:rPr>
      </w:pPr>
    </w:p>
    <w:p w14:paraId="21A4E31C" w14:textId="7DB121DD"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t xml:space="preserve">Any queries made that give rise to any new information or clarification, may be issued to all </w:t>
      </w:r>
      <w:r w:rsidR="00F20814" w:rsidRPr="00CA6930">
        <w:rPr>
          <w:rFonts w:ascii="Arial" w:hAnsi="Arial" w:cs="Arial"/>
          <w:sz w:val="22"/>
          <w:szCs w:val="22"/>
        </w:rPr>
        <w:t>A</w:t>
      </w:r>
      <w:r w:rsidRPr="00CA6930">
        <w:rPr>
          <w:rFonts w:ascii="Arial" w:hAnsi="Arial" w:cs="Arial"/>
          <w:sz w:val="22"/>
          <w:szCs w:val="22"/>
        </w:rPr>
        <w:t xml:space="preserve">pplicants depending on relevance. The identity of the </w:t>
      </w:r>
      <w:r w:rsidR="00F20814" w:rsidRPr="00CA6930">
        <w:rPr>
          <w:rFonts w:ascii="Arial" w:hAnsi="Arial" w:cs="Arial"/>
          <w:sz w:val="22"/>
          <w:szCs w:val="22"/>
        </w:rPr>
        <w:t>A</w:t>
      </w:r>
      <w:r w:rsidRPr="00CA6930">
        <w:rPr>
          <w:rFonts w:ascii="Arial" w:hAnsi="Arial" w:cs="Arial"/>
          <w:sz w:val="22"/>
          <w:szCs w:val="22"/>
        </w:rPr>
        <w:t>pplicant who raised the initial query shall not be disclosed to other interested parties.</w:t>
      </w:r>
    </w:p>
    <w:p w14:paraId="4DA96D0E" w14:textId="77777777" w:rsidR="00B43FA4" w:rsidRPr="00CA6930" w:rsidRDefault="00B43FA4" w:rsidP="00CA6930">
      <w:pPr>
        <w:pStyle w:val="Default"/>
        <w:spacing w:line="276" w:lineRule="auto"/>
        <w:jc w:val="both"/>
        <w:rPr>
          <w:sz w:val="22"/>
          <w:szCs w:val="22"/>
        </w:rPr>
      </w:pPr>
    </w:p>
    <w:p w14:paraId="77C9A1A7" w14:textId="77777777" w:rsidR="00B43FA4" w:rsidRPr="00CA6930" w:rsidRDefault="00B43FA4" w:rsidP="00CA6930">
      <w:pPr>
        <w:pStyle w:val="Default"/>
        <w:spacing w:line="276" w:lineRule="auto"/>
        <w:jc w:val="both"/>
        <w:rPr>
          <w:sz w:val="22"/>
          <w:szCs w:val="22"/>
        </w:rPr>
      </w:pPr>
    </w:p>
    <w:p w14:paraId="0D4B6F45" w14:textId="1B91FD85" w:rsidR="00B43FA4" w:rsidRPr="00CA6930" w:rsidRDefault="00D71E83" w:rsidP="00CA6930">
      <w:pPr>
        <w:pStyle w:val="Heading2"/>
        <w:spacing w:line="276" w:lineRule="auto"/>
        <w:rPr>
          <w:sz w:val="22"/>
          <w:szCs w:val="22"/>
        </w:rPr>
      </w:pPr>
      <w:bookmarkStart w:id="33" w:name="_Toc86343289"/>
      <w:bookmarkStart w:id="34" w:name="_Toc88063374"/>
      <w:r w:rsidRPr="00CA6930">
        <w:rPr>
          <w:sz w:val="22"/>
          <w:szCs w:val="22"/>
        </w:rPr>
        <w:t>Reference documents</w:t>
      </w:r>
      <w:bookmarkEnd w:id="33"/>
      <w:bookmarkEnd w:id="34"/>
      <w:r w:rsidRPr="00CA6930">
        <w:rPr>
          <w:sz w:val="22"/>
          <w:szCs w:val="22"/>
        </w:rPr>
        <w:t xml:space="preserve"> </w:t>
      </w:r>
    </w:p>
    <w:p w14:paraId="21F85740" w14:textId="77777777" w:rsidR="00B43FA4" w:rsidRPr="00CA6930" w:rsidRDefault="00B43FA4" w:rsidP="00CA6930">
      <w:pPr>
        <w:pStyle w:val="Default"/>
        <w:spacing w:line="276" w:lineRule="auto"/>
        <w:jc w:val="both"/>
        <w:rPr>
          <w:sz w:val="22"/>
          <w:szCs w:val="22"/>
        </w:rPr>
      </w:pPr>
    </w:p>
    <w:p w14:paraId="1C6B5287" w14:textId="77777777" w:rsidR="005E2A30" w:rsidRDefault="00B43FA4" w:rsidP="00CA6930">
      <w:pPr>
        <w:spacing w:line="276" w:lineRule="auto"/>
        <w:rPr>
          <w:rFonts w:ascii="Arial" w:hAnsi="Arial" w:cs="Arial"/>
          <w:sz w:val="22"/>
          <w:szCs w:val="22"/>
        </w:rPr>
      </w:pPr>
      <w:r w:rsidRPr="00CA6930">
        <w:rPr>
          <w:rFonts w:ascii="Arial" w:hAnsi="Arial" w:cs="Arial"/>
          <w:sz w:val="22"/>
          <w:szCs w:val="22"/>
        </w:rPr>
        <w:t>The following documents may be of assistance to parties interested in making a submission under th</w:t>
      </w:r>
      <w:r w:rsidR="00E8151C" w:rsidRPr="00CA6930">
        <w:rPr>
          <w:rFonts w:ascii="Arial" w:hAnsi="Arial" w:cs="Arial"/>
          <w:sz w:val="22"/>
          <w:szCs w:val="22"/>
        </w:rPr>
        <w:t>is</w:t>
      </w:r>
      <w:r w:rsidRPr="00CA6930">
        <w:rPr>
          <w:rFonts w:ascii="Arial" w:hAnsi="Arial" w:cs="Arial"/>
          <w:sz w:val="22"/>
          <w:szCs w:val="22"/>
        </w:rPr>
        <w:t xml:space="preserve"> call for </w:t>
      </w:r>
      <w:r w:rsidR="00A05D63" w:rsidRPr="00CA6930">
        <w:rPr>
          <w:rFonts w:ascii="Arial" w:hAnsi="Arial" w:cs="Arial"/>
          <w:sz w:val="22"/>
          <w:szCs w:val="22"/>
        </w:rPr>
        <w:t>proposals</w:t>
      </w:r>
      <w:r w:rsidR="006F693A" w:rsidRPr="00CA6930">
        <w:rPr>
          <w:rFonts w:ascii="Arial" w:hAnsi="Arial" w:cs="Arial"/>
          <w:sz w:val="22"/>
          <w:szCs w:val="22"/>
        </w:rPr>
        <w:t>:</w:t>
      </w:r>
    </w:p>
    <w:p w14:paraId="14C82604" w14:textId="77777777" w:rsidR="005E2A30" w:rsidRDefault="005E2A30" w:rsidP="00CA6930">
      <w:pPr>
        <w:spacing w:line="276" w:lineRule="auto"/>
        <w:rPr>
          <w:rFonts w:ascii="Arial" w:hAnsi="Arial" w:cs="Arial"/>
          <w:sz w:val="22"/>
          <w:szCs w:val="22"/>
        </w:rPr>
      </w:pPr>
    </w:p>
    <w:p w14:paraId="317FDF32" w14:textId="5C49C2EF" w:rsidR="00B43FA4" w:rsidRPr="005E2A30" w:rsidRDefault="0077174A" w:rsidP="005E2A30">
      <w:pPr>
        <w:pStyle w:val="ListParagraph"/>
        <w:numPr>
          <w:ilvl w:val="0"/>
          <w:numId w:val="36"/>
        </w:numPr>
        <w:spacing w:line="276" w:lineRule="auto"/>
        <w:rPr>
          <w:rFonts w:ascii="Arial" w:hAnsi="Arial" w:cs="Arial"/>
          <w:sz w:val="22"/>
          <w:szCs w:val="22"/>
        </w:rPr>
      </w:pPr>
      <w:r w:rsidRPr="005E2A30">
        <w:rPr>
          <w:rFonts w:ascii="Arial" w:hAnsi="Arial" w:cs="Arial"/>
          <w:sz w:val="22"/>
          <w:szCs w:val="22"/>
        </w:rPr>
        <w:t>Meath County Development Plan 2022-2027</w:t>
      </w:r>
      <w:r w:rsidR="005E2A30" w:rsidRPr="005E2A30">
        <w:rPr>
          <w:rFonts w:ascii="Arial" w:hAnsi="Arial" w:cs="Arial"/>
          <w:sz w:val="22"/>
          <w:szCs w:val="22"/>
        </w:rPr>
        <w:t xml:space="preserve"> https://consult.meath.ie/en/consultation/meath-adopted-county-development-plan</w:t>
      </w:r>
    </w:p>
    <w:p w14:paraId="52E8AE8C" w14:textId="37801E64"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Quality Homes for Sustainability Communities</w:t>
      </w:r>
      <w:r w:rsidR="008402A4" w:rsidRPr="00CA6930">
        <w:rPr>
          <w:rFonts w:ascii="Arial" w:hAnsi="Arial" w:cs="Arial"/>
          <w:sz w:val="22"/>
          <w:szCs w:val="22"/>
        </w:rPr>
        <w:t xml:space="preserve"> and Delivering Homes Sustaining Communities, 2007</w:t>
      </w:r>
      <w:r w:rsidRPr="00CA6930">
        <w:rPr>
          <w:rFonts w:ascii="Arial" w:hAnsi="Arial" w:cs="Arial"/>
          <w:sz w:val="22"/>
          <w:szCs w:val="22"/>
        </w:rPr>
        <w:t xml:space="preserve"> (</w:t>
      </w:r>
      <w:hyperlink r:id="rId15" w:history="1">
        <w:r w:rsidR="00DE3752" w:rsidRPr="00CA6930">
          <w:rPr>
            <w:rStyle w:val="Hyperlink"/>
            <w:rFonts w:ascii="Arial" w:hAnsi="Arial" w:cs="Arial"/>
            <w:sz w:val="22"/>
            <w:szCs w:val="22"/>
          </w:rPr>
          <w:t>https://www.gov.ie/en/publication/60868-quality-housing-for-sustainable-communities/</w:t>
        </w:r>
      </w:hyperlink>
      <w:r w:rsidR="00DE3752" w:rsidRPr="00CA6930">
        <w:rPr>
          <w:rFonts w:ascii="Arial" w:hAnsi="Arial" w:cs="Arial"/>
          <w:sz w:val="22"/>
          <w:szCs w:val="22"/>
        </w:rPr>
        <w:t xml:space="preserve"> &amp; </w:t>
      </w:r>
      <w:hyperlink r:id="rId16" w:history="1">
        <w:r w:rsidR="00DE3752" w:rsidRPr="00CA6930">
          <w:rPr>
            <w:rStyle w:val="Hyperlink"/>
            <w:rFonts w:ascii="Arial" w:hAnsi="Arial" w:cs="Arial"/>
            <w:sz w:val="22"/>
            <w:szCs w:val="22"/>
          </w:rPr>
          <w:t>https://www.opr.ie/wp-content/uploads/2019/08/2007-Delivering-Homes-Sustaining-Communities-Hsing-Policy-1.pdf</w:t>
        </w:r>
      </w:hyperlink>
      <w:r w:rsidR="00DE3752" w:rsidRPr="00CA6930">
        <w:rPr>
          <w:rFonts w:ascii="Arial" w:hAnsi="Arial" w:cs="Arial"/>
          <w:sz w:val="22"/>
          <w:szCs w:val="22"/>
        </w:rPr>
        <w:t xml:space="preserve"> </w:t>
      </w:r>
      <w:r w:rsidRPr="00CA6930">
        <w:rPr>
          <w:rFonts w:ascii="Arial" w:hAnsi="Arial" w:cs="Arial"/>
          <w:sz w:val="22"/>
          <w:szCs w:val="22"/>
        </w:rPr>
        <w:t>)</w:t>
      </w:r>
    </w:p>
    <w:p w14:paraId="437D0DD8" w14:textId="32054BA3"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Standard Specification for Materials and Finishes for Social Housing (</w:t>
      </w:r>
      <w:hyperlink r:id="rId17" w:history="1">
        <w:r w:rsidR="00B90008" w:rsidRPr="00CA6930">
          <w:rPr>
            <w:rStyle w:val="Hyperlink"/>
            <w:rFonts w:ascii="Arial" w:hAnsi="Arial" w:cs="Arial"/>
            <w:sz w:val="22"/>
            <w:szCs w:val="22"/>
          </w:rPr>
          <w:t>http://www.housing.old.gov.ie/housing/quality-housing-design-series/employers-requirements-detail-design-quality-housing-0</w:t>
        </w:r>
      </w:hyperlink>
      <w:r w:rsidR="00B90008" w:rsidRPr="00CA6930">
        <w:rPr>
          <w:rFonts w:ascii="Arial" w:hAnsi="Arial" w:cs="Arial"/>
          <w:sz w:val="22"/>
          <w:szCs w:val="22"/>
        </w:rPr>
        <w:t xml:space="preserve"> </w:t>
      </w:r>
      <w:r w:rsidRPr="00CA6930">
        <w:rPr>
          <w:rFonts w:ascii="Arial" w:hAnsi="Arial" w:cs="Arial"/>
          <w:sz w:val="22"/>
          <w:szCs w:val="22"/>
        </w:rPr>
        <w:t>)</w:t>
      </w:r>
    </w:p>
    <w:p w14:paraId="360279D3" w14:textId="51D11C40"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Design Standards for New Apartments - Guidelines for Planning Authorities (</w:t>
      </w:r>
      <w:hyperlink r:id="rId18" w:history="1">
        <w:r w:rsidR="002B04E6" w:rsidRPr="00CA6930">
          <w:rPr>
            <w:rStyle w:val="Hyperlink"/>
            <w:rFonts w:ascii="Arial" w:hAnsi="Arial" w:cs="Arial"/>
            <w:sz w:val="22"/>
            <w:szCs w:val="22"/>
          </w:rPr>
          <w:t>http://www.housing.old.gov.ie/sites/default/files/publications/files/december_2020_-_design_standards_for_new_apartments.pdf</w:t>
        </w:r>
      </w:hyperlink>
      <w:r w:rsidR="002B04E6" w:rsidRPr="00CA6930">
        <w:rPr>
          <w:rFonts w:ascii="Arial" w:hAnsi="Arial" w:cs="Arial"/>
          <w:sz w:val="22"/>
          <w:szCs w:val="22"/>
        </w:rPr>
        <w:t xml:space="preserve"> </w:t>
      </w:r>
      <w:r w:rsidRPr="00CA6930">
        <w:rPr>
          <w:rFonts w:ascii="Arial" w:hAnsi="Arial" w:cs="Arial"/>
          <w:sz w:val="22"/>
          <w:szCs w:val="22"/>
        </w:rPr>
        <w:t>)</w:t>
      </w:r>
    </w:p>
    <w:p w14:paraId="1808719D" w14:textId="70B2709F"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Guidelines for Planning Authorities on Sustainable Residential Development in Urban Areas (Cities, Towns and Villages) 2009</w:t>
      </w:r>
      <w:r w:rsidR="006B0175" w:rsidRPr="00CA6930">
        <w:rPr>
          <w:rFonts w:ascii="Arial" w:hAnsi="Arial" w:cs="Arial"/>
          <w:sz w:val="22"/>
          <w:szCs w:val="22"/>
        </w:rPr>
        <w:t xml:space="preserve"> (</w:t>
      </w:r>
      <w:hyperlink r:id="rId19" w:history="1">
        <w:r w:rsidR="006B0175" w:rsidRPr="00CA6930">
          <w:rPr>
            <w:rStyle w:val="Hyperlink"/>
            <w:rFonts w:ascii="Arial" w:hAnsi="Arial" w:cs="Arial"/>
            <w:sz w:val="22"/>
            <w:szCs w:val="22"/>
          </w:rPr>
          <w:t>https://www.gov.ie/en/publication/a8c85-sustainable-residential-developments-in-urban-areas-guidelines-for-planning-authorities-may-09/</w:t>
        </w:r>
      </w:hyperlink>
      <w:r w:rsidR="006B0175" w:rsidRPr="00CA6930">
        <w:rPr>
          <w:rFonts w:ascii="Arial" w:hAnsi="Arial" w:cs="Arial"/>
          <w:sz w:val="22"/>
          <w:szCs w:val="22"/>
        </w:rPr>
        <w:t xml:space="preserve"> )</w:t>
      </w:r>
    </w:p>
    <w:p w14:paraId="16FB6556" w14:textId="08ED24D1" w:rsidR="00B43FA4" w:rsidRPr="00CA6930" w:rsidRDefault="00B43FA4" w:rsidP="00CA6930">
      <w:pPr>
        <w:pStyle w:val="ListParagraph"/>
        <w:numPr>
          <w:ilvl w:val="0"/>
          <w:numId w:val="26"/>
        </w:numPr>
        <w:spacing w:line="276" w:lineRule="auto"/>
        <w:rPr>
          <w:rFonts w:ascii="Arial" w:hAnsi="Arial" w:cs="Arial"/>
          <w:sz w:val="22"/>
          <w:szCs w:val="22"/>
        </w:rPr>
      </w:pPr>
      <w:r w:rsidRPr="00CA6930">
        <w:rPr>
          <w:rFonts w:ascii="Arial" w:hAnsi="Arial" w:cs="Arial"/>
          <w:sz w:val="22"/>
          <w:szCs w:val="22"/>
        </w:rPr>
        <w:t xml:space="preserve">Design Manual </w:t>
      </w:r>
      <w:proofErr w:type="gramStart"/>
      <w:r w:rsidRPr="00CA6930">
        <w:rPr>
          <w:rFonts w:ascii="Arial" w:hAnsi="Arial" w:cs="Arial"/>
          <w:sz w:val="22"/>
          <w:szCs w:val="22"/>
        </w:rPr>
        <w:t>For</w:t>
      </w:r>
      <w:proofErr w:type="gramEnd"/>
      <w:r w:rsidRPr="00CA6930">
        <w:rPr>
          <w:rFonts w:ascii="Arial" w:hAnsi="Arial" w:cs="Arial"/>
          <w:sz w:val="22"/>
          <w:szCs w:val="22"/>
        </w:rPr>
        <w:t xml:space="preserve"> Urban Roads and Streets, 201</w:t>
      </w:r>
      <w:r w:rsidR="00C0511E" w:rsidRPr="00CA6930">
        <w:rPr>
          <w:rFonts w:ascii="Arial" w:hAnsi="Arial" w:cs="Arial"/>
          <w:sz w:val="22"/>
          <w:szCs w:val="22"/>
        </w:rPr>
        <w:t>9</w:t>
      </w:r>
      <w:r w:rsidR="006B0175" w:rsidRPr="00CA6930">
        <w:rPr>
          <w:rFonts w:ascii="Arial" w:hAnsi="Arial" w:cs="Arial"/>
          <w:sz w:val="22"/>
          <w:szCs w:val="22"/>
        </w:rPr>
        <w:t xml:space="preserve"> (</w:t>
      </w:r>
      <w:hyperlink r:id="rId20" w:history="1">
        <w:r w:rsidR="006B0175" w:rsidRPr="00CA6930">
          <w:rPr>
            <w:rStyle w:val="Hyperlink"/>
            <w:rFonts w:ascii="Arial" w:hAnsi="Arial" w:cs="Arial"/>
            <w:sz w:val="22"/>
            <w:szCs w:val="22"/>
          </w:rPr>
          <w:t>https://www.gov.ie/en/publication/3360b1-design-manual-for-urban-roads-and-streets/</w:t>
        </w:r>
      </w:hyperlink>
      <w:r w:rsidR="006B0175" w:rsidRPr="00CA6930">
        <w:rPr>
          <w:rFonts w:ascii="Arial" w:hAnsi="Arial" w:cs="Arial"/>
          <w:sz w:val="22"/>
          <w:szCs w:val="22"/>
        </w:rPr>
        <w:t xml:space="preserve">) </w:t>
      </w:r>
    </w:p>
    <w:p w14:paraId="456B4ACA" w14:textId="77777777" w:rsidR="00B43FA4" w:rsidRPr="00CA6930" w:rsidRDefault="00B43FA4" w:rsidP="00CA6930">
      <w:pPr>
        <w:pStyle w:val="ListParagraph"/>
        <w:numPr>
          <w:ilvl w:val="0"/>
          <w:numId w:val="26"/>
        </w:numPr>
        <w:spacing w:line="276" w:lineRule="auto"/>
        <w:rPr>
          <w:rFonts w:ascii="Arial" w:hAnsi="Arial" w:cs="Arial"/>
          <w:sz w:val="22"/>
          <w:szCs w:val="22"/>
          <w:specVanish/>
        </w:rPr>
      </w:pPr>
      <w:r w:rsidRPr="00CA6930">
        <w:rPr>
          <w:rFonts w:ascii="Arial" w:hAnsi="Arial" w:cs="Arial"/>
          <w:sz w:val="22"/>
          <w:szCs w:val="22"/>
        </w:rPr>
        <w:t>Building Control Regulations 1997 – 2015, as amended.</w:t>
      </w:r>
    </w:p>
    <w:p w14:paraId="40210A37" w14:textId="77777777" w:rsidR="00B43FA4" w:rsidRPr="00CA6930" w:rsidRDefault="00B43FA4" w:rsidP="00CA6930">
      <w:pPr>
        <w:pStyle w:val="Default"/>
        <w:spacing w:line="276" w:lineRule="auto"/>
        <w:jc w:val="both"/>
        <w:rPr>
          <w:sz w:val="22"/>
          <w:szCs w:val="22"/>
        </w:rPr>
      </w:pPr>
    </w:p>
    <w:p w14:paraId="4E91A9DC" w14:textId="77777777" w:rsidR="00B43FA4" w:rsidRPr="00CA6930" w:rsidRDefault="00B43FA4" w:rsidP="00CA6930">
      <w:pPr>
        <w:pStyle w:val="Default"/>
        <w:spacing w:line="276" w:lineRule="auto"/>
        <w:jc w:val="both"/>
        <w:rPr>
          <w:sz w:val="22"/>
          <w:szCs w:val="22"/>
        </w:rPr>
      </w:pPr>
    </w:p>
    <w:p w14:paraId="452E3A82" w14:textId="081F2361" w:rsidR="00B43FA4" w:rsidRPr="00CA6930" w:rsidRDefault="00D71E83" w:rsidP="00CA6930">
      <w:pPr>
        <w:pStyle w:val="Heading2"/>
        <w:spacing w:line="276" w:lineRule="auto"/>
        <w:rPr>
          <w:sz w:val="22"/>
          <w:szCs w:val="22"/>
        </w:rPr>
      </w:pPr>
      <w:bookmarkStart w:id="35" w:name="_Toc86343290"/>
      <w:bookmarkStart w:id="36" w:name="_Toc88063375"/>
      <w:r w:rsidRPr="00CA6930">
        <w:rPr>
          <w:sz w:val="22"/>
          <w:szCs w:val="22"/>
        </w:rPr>
        <w:t>Return of submissions</w:t>
      </w:r>
      <w:bookmarkEnd w:id="35"/>
      <w:bookmarkEnd w:id="36"/>
      <w:r w:rsidRPr="00CA6930">
        <w:rPr>
          <w:sz w:val="22"/>
          <w:szCs w:val="22"/>
        </w:rPr>
        <w:t xml:space="preserve"> </w:t>
      </w:r>
    </w:p>
    <w:p w14:paraId="1987620C" w14:textId="77777777" w:rsidR="00B43FA4" w:rsidRPr="00CA6930" w:rsidRDefault="00B43FA4" w:rsidP="00CA6930">
      <w:pPr>
        <w:pStyle w:val="Default"/>
        <w:spacing w:line="276" w:lineRule="auto"/>
        <w:jc w:val="both"/>
        <w:rPr>
          <w:sz w:val="22"/>
          <w:szCs w:val="22"/>
        </w:rPr>
      </w:pPr>
    </w:p>
    <w:p w14:paraId="79C93182" w14:textId="49D9048C" w:rsidR="00B43FA4" w:rsidRPr="00CA6930" w:rsidRDefault="008D696D" w:rsidP="00CA6930">
      <w:pPr>
        <w:spacing w:line="276" w:lineRule="auto"/>
        <w:rPr>
          <w:rFonts w:ascii="Arial" w:hAnsi="Arial" w:cs="Arial"/>
          <w:sz w:val="22"/>
          <w:szCs w:val="22"/>
        </w:rPr>
      </w:pPr>
      <w:r>
        <w:rPr>
          <w:rFonts w:ascii="Arial" w:hAnsi="Arial" w:cs="Arial"/>
        </w:rPr>
        <w:t>S</w:t>
      </w:r>
      <w:r w:rsidR="00B43FA4" w:rsidRPr="00150EB7">
        <w:rPr>
          <w:rFonts w:ascii="Arial" w:hAnsi="Arial" w:cs="Arial"/>
        </w:rPr>
        <w:t>ubmissions</w:t>
      </w:r>
      <w:r w:rsidR="00B43FA4" w:rsidRPr="00CA6930">
        <w:rPr>
          <w:rFonts w:ascii="Arial" w:hAnsi="Arial" w:cs="Arial"/>
          <w:sz w:val="22"/>
          <w:szCs w:val="22"/>
        </w:rPr>
        <w:t xml:space="preserve"> </w:t>
      </w:r>
      <w:r>
        <w:rPr>
          <w:rFonts w:ascii="Arial" w:hAnsi="Arial" w:cs="Arial"/>
        </w:rPr>
        <w:t>can</w:t>
      </w:r>
      <w:r w:rsidRPr="00150EB7">
        <w:rPr>
          <w:rFonts w:ascii="Arial" w:hAnsi="Arial" w:cs="Arial"/>
        </w:rPr>
        <w:t xml:space="preserve"> </w:t>
      </w:r>
      <w:r w:rsidR="00B43FA4" w:rsidRPr="00CA6930">
        <w:rPr>
          <w:rFonts w:ascii="Arial" w:hAnsi="Arial" w:cs="Arial"/>
          <w:sz w:val="22"/>
          <w:szCs w:val="22"/>
        </w:rPr>
        <w:t xml:space="preserve">be made </w:t>
      </w:r>
      <w:r w:rsidR="00B43FA4" w:rsidRPr="00150EB7">
        <w:rPr>
          <w:rFonts w:ascii="Arial" w:hAnsi="Arial" w:cs="Arial"/>
        </w:rPr>
        <w:t>i</w:t>
      </w:r>
      <w:r>
        <w:rPr>
          <w:rFonts w:ascii="Arial" w:hAnsi="Arial" w:cs="Arial"/>
        </w:rPr>
        <w:t>n</w:t>
      </w:r>
      <w:r w:rsidR="00B43FA4" w:rsidRPr="00CA6930">
        <w:rPr>
          <w:rFonts w:ascii="Arial" w:hAnsi="Arial" w:cs="Arial"/>
          <w:sz w:val="22"/>
          <w:szCs w:val="22"/>
        </w:rPr>
        <w:t xml:space="preserve"> writing </w:t>
      </w:r>
      <w:r w:rsidR="00C90686">
        <w:rPr>
          <w:rFonts w:ascii="Arial" w:hAnsi="Arial" w:cs="Arial"/>
        </w:rPr>
        <w:t xml:space="preserve">or by email </w:t>
      </w:r>
      <w:r w:rsidR="00B43FA4" w:rsidRPr="00CA6930">
        <w:rPr>
          <w:rFonts w:ascii="Arial" w:hAnsi="Arial" w:cs="Arial"/>
          <w:sz w:val="22"/>
          <w:szCs w:val="22"/>
        </w:rPr>
        <w:t xml:space="preserve">and </w:t>
      </w:r>
      <w:r>
        <w:rPr>
          <w:rFonts w:ascii="Arial" w:hAnsi="Arial" w:cs="Arial"/>
        </w:rPr>
        <w:t>should</w:t>
      </w:r>
      <w:r w:rsidR="00B43FA4" w:rsidRPr="00150EB7">
        <w:rPr>
          <w:rFonts w:ascii="Arial" w:hAnsi="Arial" w:cs="Arial"/>
        </w:rPr>
        <w:t xml:space="preserve"> </w:t>
      </w:r>
      <w:r w:rsidR="00B43FA4" w:rsidRPr="00CA6930">
        <w:rPr>
          <w:rFonts w:ascii="Arial" w:hAnsi="Arial" w:cs="Arial"/>
          <w:sz w:val="22"/>
          <w:szCs w:val="22"/>
        </w:rPr>
        <w:t>include all information requested.</w:t>
      </w:r>
    </w:p>
    <w:p w14:paraId="6D183992" w14:textId="77777777" w:rsidR="004744E8" w:rsidRDefault="004744E8" w:rsidP="00CA6930">
      <w:pPr>
        <w:spacing w:line="276" w:lineRule="auto"/>
        <w:rPr>
          <w:rFonts w:ascii="Arial" w:hAnsi="Arial" w:cs="Arial"/>
        </w:rPr>
      </w:pPr>
    </w:p>
    <w:p w14:paraId="37BE2CCC" w14:textId="6B36F46C" w:rsidR="00B43FA4" w:rsidRPr="00CA6930" w:rsidRDefault="008E7BF4" w:rsidP="00CA6930">
      <w:pPr>
        <w:spacing w:line="276" w:lineRule="auto"/>
        <w:rPr>
          <w:rFonts w:ascii="Arial" w:hAnsi="Arial" w:cs="Arial"/>
          <w:sz w:val="22"/>
          <w:szCs w:val="22"/>
        </w:rPr>
      </w:pPr>
      <w:r>
        <w:rPr>
          <w:rFonts w:ascii="Arial" w:hAnsi="Arial" w:cs="Arial"/>
        </w:rPr>
        <w:t xml:space="preserve">Written submission </w:t>
      </w:r>
      <w:r w:rsidR="00B43FA4" w:rsidRPr="00CA6930">
        <w:rPr>
          <w:rFonts w:ascii="Arial" w:hAnsi="Arial" w:cs="Arial"/>
          <w:sz w:val="22"/>
          <w:szCs w:val="22"/>
        </w:rPr>
        <w:t xml:space="preserve">should </w:t>
      </w:r>
      <w:r>
        <w:rPr>
          <w:rFonts w:ascii="Arial" w:hAnsi="Arial" w:cs="Arial"/>
        </w:rPr>
        <w:t>by</w:t>
      </w:r>
      <w:r w:rsidR="00B43FA4" w:rsidRPr="00150EB7">
        <w:rPr>
          <w:rFonts w:ascii="Arial" w:hAnsi="Arial" w:cs="Arial"/>
        </w:rPr>
        <w:t xml:space="preserve"> </w:t>
      </w:r>
      <w:r w:rsidR="00B43FA4" w:rsidRPr="00CA6930">
        <w:rPr>
          <w:rFonts w:ascii="Arial" w:hAnsi="Arial" w:cs="Arial"/>
          <w:sz w:val="22"/>
          <w:szCs w:val="22"/>
        </w:rPr>
        <w:t>enclose</w:t>
      </w:r>
      <w:r w:rsidR="004744E8">
        <w:rPr>
          <w:rFonts w:ascii="Arial" w:hAnsi="Arial" w:cs="Arial"/>
          <w:sz w:val="22"/>
          <w:szCs w:val="22"/>
        </w:rPr>
        <w:t>d</w:t>
      </w:r>
      <w:r w:rsidR="00B43FA4" w:rsidRPr="00CA6930">
        <w:rPr>
          <w:rFonts w:ascii="Arial" w:hAnsi="Arial" w:cs="Arial"/>
          <w:sz w:val="22"/>
          <w:szCs w:val="22"/>
        </w:rPr>
        <w:t xml:space="preserve"> in a sealed envelope marked and addressed as follows: </w:t>
      </w:r>
    </w:p>
    <w:p w14:paraId="196F55D7" w14:textId="77777777" w:rsidR="00D71E83" w:rsidRPr="00CA6930" w:rsidRDefault="00D71E83" w:rsidP="00CA6930">
      <w:pPr>
        <w:spacing w:line="276" w:lineRule="auto"/>
        <w:rPr>
          <w:rFonts w:ascii="Arial" w:hAnsi="Arial" w:cs="Arial"/>
          <w:sz w:val="22"/>
          <w:szCs w:val="22"/>
        </w:rPr>
      </w:pPr>
    </w:p>
    <w:p w14:paraId="69B259F0" w14:textId="38FDE70B" w:rsidR="008E7BF4" w:rsidRDefault="00B43FA4" w:rsidP="00E12AF5">
      <w:pPr>
        <w:spacing w:line="276" w:lineRule="auto"/>
        <w:rPr>
          <w:rFonts w:ascii="Arial" w:hAnsi="Arial" w:cs="Arial"/>
        </w:rPr>
      </w:pPr>
      <w:r w:rsidRPr="00CA6930">
        <w:rPr>
          <w:rFonts w:ascii="Arial" w:hAnsi="Arial" w:cs="Arial"/>
          <w:sz w:val="22"/>
          <w:szCs w:val="22"/>
        </w:rPr>
        <w:t>“Expressions of Interest for the Provision of Turnkey Housing Developments to</w:t>
      </w:r>
      <w:r w:rsidR="005E2A30">
        <w:rPr>
          <w:rFonts w:ascii="Arial" w:hAnsi="Arial" w:cs="Arial"/>
          <w:sz w:val="22"/>
          <w:szCs w:val="22"/>
        </w:rPr>
        <w:t xml:space="preserve"> Meath County Council, FAO Paul O’ Sullivan, Housing Section, Buvinda House, Navan, Co. Meath </w:t>
      </w:r>
    </w:p>
    <w:p w14:paraId="3A25AE57" w14:textId="77777777" w:rsidR="008E7BF4" w:rsidRDefault="008E7BF4" w:rsidP="00E12AF5">
      <w:pPr>
        <w:spacing w:line="276" w:lineRule="auto"/>
        <w:rPr>
          <w:rFonts w:ascii="Arial" w:hAnsi="Arial" w:cs="Arial"/>
        </w:rPr>
      </w:pPr>
    </w:p>
    <w:p w14:paraId="15C94D5A" w14:textId="44EFB9DB" w:rsidR="00B43FA4" w:rsidRPr="00CA6930" w:rsidRDefault="008E7BF4" w:rsidP="00CA6930">
      <w:pPr>
        <w:spacing w:line="276" w:lineRule="auto"/>
        <w:rPr>
          <w:rFonts w:ascii="Arial" w:hAnsi="Arial" w:cs="Arial"/>
          <w:sz w:val="22"/>
          <w:szCs w:val="22"/>
        </w:rPr>
      </w:pPr>
      <w:r>
        <w:rPr>
          <w:rFonts w:ascii="Arial" w:hAnsi="Arial" w:cs="Arial"/>
        </w:rPr>
        <w:t>E</w:t>
      </w:r>
      <w:r w:rsidR="006B529A">
        <w:rPr>
          <w:rFonts w:ascii="Arial" w:hAnsi="Arial" w:cs="Arial"/>
        </w:rPr>
        <w:t>mail</w:t>
      </w:r>
      <w:r>
        <w:rPr>
          <w:rFonts w:ascii="Arial" w:hAnsi="Arial" w:cs="Arial"/>
        </w:rPr>
        <w:t>s</w:t>
      </w:r>
      <w:r w:rsidRPr="008E7BF4">
        <w:rPr>
          <w:rFonts w:ascii="Arial" w:hAnsi="Arial" w:cs="Arial"/>
        </w:rPr>
        <w:t xml:space="preserve"> </w:t>
      </w:r>
      <w:r>
        <w:rPr>
          <w:rFonts w:ascii="Arial" w:hAnsi="Arial" w:cs="Arial"/>
        </w:rPr>
        <w:t>submission should be</w:t>
      </w:r>
      <w:r w:rsidR="005E2A30">
        <w:rPr>
          <w:rFonts w:ascii="Arial" w:hAnsi="Arial" w:cs="Arial"/>
        </w:rPr>
        <w:t xml:space="preserve"> to: paul.osullivan@meathcoco.ie</w:t>
      </w:r>
    </w:p>
    <w:p w14:paraId="2B64F8B3" w14:textId="2175496C" w:rsidR="00AD6ED0" w:rsidRDefault="005E2A30" w:rsidP="00E12AF5">
      <w:pPr>
        <w:spacing w:line="276" w:lineRule="auto"/>
        <w:rPr>
          <w:rFonts w:ascii="Arial" w:hAnsi="Arial" w:cs="Arial"/>
        </w:rPr>
      </w:pPr>
      <w:r>
        <w:rPr>
          <w:rFonts w:ascii="Arial" w:hAnsi="Arial" w:cs="Arial"/>
          <w:sz w:val="22"/>
          <w:szCs w:val="22"/>
        </w:rPr>
        <w:lastRenderedPageBreak/>
        <w:t>Meath County Council</w:t>
      </w:r>
      <w:r w:rsidRPr="00D82C11">
        <w:rPr>
          <w:rFonts w:ascii="Arial" w:hAnsi="Arial" w:cs="Arial"/>
        </w:rPr>
        <w:t xml:space="preserve"> </w:t>
      </w:r>
      <w:r w:rsidR="00D035CB" w:rsidRPr="00D82C11">
        <w:rPr>
          <w:rFonts w:ascii="Arial" w:hAnsi="Arial" w:cs="Arial"/>
        </w:rPr>
        <w:t xml:space="preserve">would encourage interested parties that </w:t>
      </w:r>
      <w:r w:rsidR="004744E8">
        <w:rPr>
          <w:rFonts w:ascii="Arial" w:hAnsi="Arial" w:cs="Arial"/>
        </w:rPr>
        <w:t xml:space="preserve">believe they </w:t>
      </w:r>
      <w:r w:rsidR="00D035CB" w:rsidRPr="00D82C11">
        <w:rPr>
          <w:rFonts w:ascii="Arial" w:hAnsi="Arial" w:cs="Arial"/>
        </w:rPr>
        <w:t xml:space="preserve">fit within the above criteria </w:t>
      </w:r>
      <w:r w:rsidR="004744E8">
        <w:rPr>
          <w:rFonts w:ascii="Arial" w:hAnsi="Arial" w:cs="Arial"/>
        </w:rPr>
        <w:t xml:space="preserve">and </w:t>
      </w:r>
      <w:r w:rsidR="00D035CB" w:rsidRPr="00D82C11">
        <w:rPr>
          <w:rFonts w:ascii="Arial" w:hAnsi="Arial" w:cs="Arial"/>
        </w:rPr>
        <w:t>that are interested in exploring a forward purchasing agreement with the</w:t>
      </w:r>
      <w:r w:rsidRPr="005E2A30">
        <w:rPr>
          <w:rFonts w:ascii="Arial" w:hAnsi="Arial" w:cs="Arial"/>
          <w:sz w:val="22"/>
          <w:szCs w:val="22"/>
        </w:rPr>
        <w:t xml:space="preserve"> </w:t>
      </w:r>
      <w:r>
        <w:rPr>
          <w:rFonts w:ascii="Arial" w:hAnsi="Arial" w:cs="Arial"/>
          <w:sz w:val="22"/>
          <w:szCs w:val="22"/>
        </w:rPr>
        <w:t>Meath County Council</w:t>
      </w:r>
      <w:r w:rsidR="00D035CB" w:rsidRPr="00150EB7">
        <w:rPr>
          <w:rFonts w:ascii="Arial" w:hAnsi="Arial" w:cs="Arial"/>
        </w:rPr>
        <w:t xml:space="preserve"> </w:t>
      </w:r>
      <w:r w:rsidR="00D035CB" w:rsidRPr="00D82C11">
        <w:rPr>
          <w:rFonts w:ascii="Arial" w:hAnsi="Arial" w:cs="Arial"/>
        </w:rPr>
        <w:t xml:space="preserve">to </w:t>
      </w:r>
      <w:r w:rsidR="00025602">
        <w:rPr>
          <w:rFonts w:ascii="Arial" w:hAnsi="Arial" w:cs="Arial"/>
        </w:rPr>
        <w:t>submit</w:t>
      </w:r>
      <w:r w:rsidR="00AD6ED0">
        <w:rPr>
          <w:rFonts w:ascii="Arial" w:hAnsi="Arial" w:cs="Arial"/>
        </w:rPr>
        <w:t xml:space="preserve"> </w:t>
      </w:r>
      <w:r w:rsidR="004744E8">
        <w:rPr>
          <w:rFonts w:ascii="Arial" w:hAnsi="Arial" w:cs="Arial"/>
        </w:rPr>
        <w:t>complete the E</w:t>
      </w:r>
      <w:r w:rsidR="00025602">
        <w:rPr>
          <w:rFonts w:ascii="Arial" w:hAnsi="Arial" w:cs="Arial"/>
        </w:rPr>
        <w:t>xpression</w:t>
      </w:r>
      <w:r w:rsidR="00AD6ED0">
        <w:rPr>
          <w:rFonts w:ascii="Arial" w:hAnsi="Arial" w:cs="Arial"/>
        </w:rPr>
        <w:t xml:space="preserve"> of </w:t>
      </w:r>
      <w:r w:rsidR="004744E8">
        <w:rPr>
          <w:rFonts w:ascii="Arial" w:hAnsi="Arial" w:cs="Arial"/>
        </w:rPr>
        <w:t>I</w:t>
      </w:r>
      <w:r w:rsidR="00AD6ED0">
        <w:rPr>
          <w:rFonts w:ascii="Arial" w:hAnsi="Arial" w:cs="Arial"/>
        </w:rPr>
        <w:t>nterest</w:t>
      </w:r>
      <w:r w:rsidR="004744E8">
        <w:rPr>
          <w:rFonts w:ascii="Arial" w:hAnsi="Arial" w:cs="Arial"/>
        </w:rPr>
        <w:t xml:space="preserve"> Application Form</w:t>
      </w:r>
      <w:r w:rsidR="00AD6ED0">
        <w:rPr>
          <w:rFonts w:ascii="Arial" w:hAnsi="Arial" w:cs="Arial"/>
        </w:rPr>
        <w:t xml:space="preserve"> as soon as possible, </w:t>
      </w:r>
      <w:r w:rsidR="00AD6ED0" w:rsidRPr="00DC210F">
        <w:rPr>
          <w:rFonts w:ascii="Arial" w:hAnsi="Arial" w:cs="Arial"/>
        </w:rPr>
        <w:t xml:space="preserve">preferably by </w:t>
      </w:r>
      <w:r w:rsidR="00025602">
        <w:rPr>
          <w:rFonts w:ascii="Arial" w:hAnsi="Arial" w:cs="Arial"/>
        </w:rPr>
        <w:t>14</w:t>
      </w:r>
      <w:r w:rsidR="00AD6ED0" w:rsidRPr="00D82C11">
        <w:rPr>
          <w:rFonts w:ascii="Arial" w:hAnsi="Arial" w:cs="Arial"/>
          <w:vertAlign w:val="superscript"/>
        </w:rPr>
        <w:t>th</w:t>
      </w:r>
      <w:r w:rsidR="00AD6ED0" w:rsidRPr="00DC210F">
        <w:rPr>
          <w:rFonts w:ascii="Arial" w:hAnsi="Arial" w:cs="Arial"/>
        </w:rPr>
        <w:t> </w:t>
      </w:r>
      <w:r w:rsidR="00025602">
        <w:rPr>
          <w:rFonts w:ascii="Arial" w:hAnsi="Arial" w:cs="Arial"/>
        </w:rPr>
        <w:t>January</w:t>
      </w:r>
      <w:r w:rsidR="00AD6ED0" w:rsidRPr="00DC210F">
        <w:rPr>
          <w:rFonts w:ascii="Arial" w:hAnsi="Arial" w:cs="Arial"/>
        </w:rPr>
        <w:t xml:space="preserve"> 202</w:t>
      </w:r>
      <w:r w:rsidR="00200C71">
        <w:rPr>
          <w:rFonts w:ascii="Arial" w:hAnsi="Arial" w:cs="Arial"/>
        </w:rPr>
        <w:t>2</w:t>
      </w:r>
      <w:bookmarkStart w:id="37" w:name="_GoBack"/>
      <w:bookmarkEnd w:id="37"/>
      <w:r w:rsidR="00AD6ED0">
        <w:rPr>
          <w:rFonts w:ascii="Arial" w:hAnsi="Arial" w:cs="Arial"/>
        </w:rPr>
        <w:t xml:space="preserve"> for this initial call. </w:t>
      </w:r>
    </w:p>
    <w:p w14:paraId="0D944467" w14:textId="77777777" w:rsidR="00D035CB" w:rsidRDefault="00D035CB" w:rsidP="00E12AF5">
      <w:pPr>
        <w:spacing w:line="276" w:lineRule="auto"/>
        <w:rPr>
          <w:rFonts w:ascii="Arial" w:hAnsi="Arial" w:cs="Arial"/>
        </w:rPr>
      </w:pPr>
    </w:p>
    <w:p w14:paraId="0B491B9F" w14:textId="77777777" w:rsidR="00105E35" w:rsidRPr="00CA6930" w:rsidRDefault="00105E35" w:rsidP="00CA6930">
      <w:pPr>
        <w:spacing w:line="276" w:lineRule="auto"/>
        <w:rPr>
          <w:rFonts w:ascii="Arial" w:hAnsi="Arial" w:cs="Arial"/>
          <w:sz w:val="22"/>
          <w:szCs w:val="22"/>
        </w:rPr>
      </w:pPr>
    </w:p>
    <w:p w14:paraId="7BC5BAD2" w14:textId="4F7C9344" w:rsidR="000F27C0" w:rsidRDefault="000F27C0" w:rsidP="00CA6930">
      <w:pPr>
        <w:pStyle w:val="Heading2"/>
        <w:spacing w:line="276" w:lineRule="auto"/>
        <w:rPr>
          <w:sz w:val="22"/>
          <w:szCs w:val="22"/>
        </w:rPr>
      </w:pPr>
      <w:bookmarkStart w:id="38" w:name="_Toc87975685"/>
      <w:bookmarkStart w:id="39" w:name="_Toc87978410"/>
      <w:bookmarkStart w:id="40" w:name="_Toc87981701"/>
      <w:bookmarkStart w:id="41" w:name="_Toc88033109"/>
      <w:bookmarkStart w:id="42" w:name="_Toc88063376"/>
      <w:bookmarkEnd w:id="38"/>
      <w:bookmarkEnd w:id="39"/>
      <w:bookmarkEnd w:id="40"/>
      <w:bookmarkEnd w:id="41"/>
      <w:r w:rsidRPr="00CA6930">
        <w:rPr>
          <w:sz w:val="22"/>
          <w:szCs w:val="22"/>
        </w:rPr>
        <w:t>Disclaimer</w:t>
      </w:r>
      <w:bookmarkEnd w:id="42"/>
      <w:r w:rsidRPr="00CA6930">
        <w:rPr>
          <w:sz w:val="22"/>
          <w:szCs w:val="22"/>
        </w:rPr>
        <w:t xml:space="preserve"> </w:t>
      </w:r>
    </w:p>
    <w:p w14:paraId="792A67CC" w14:textId="77777777" w:rsidR="004744E8" w:rsidRPr="004744E8" w:rsidRDefault="004744E8" w:rsidP="004744E8">
      <w:pPr>
        <w:rPr>
          <w:lang w:eastAsia="en-US"/>
        </w:rPr>
      </w:pPr>
    </w:p>
    <w:p w14:paraId="01BE8682" w14:textId="2E3DEB6C" w:rsidR="000F27C0" w:rsidRPr="00CA6930" w:rsidRDefault="005E2A30" w:rsidP="00CA6930">
      <w:pPr>
        <w:spacing w:line="276" w:lineRule="auto"/>
        <w:rPr>
          <w:rFonts w:ascii="Arial" w:hAnsi="Arial" w:cs="Arial"/>
          <w:sz w:val="22"/>
          <w:szCs w:val="22"/>
        </w:rPr>
      </w:pPr>
      <w:r>
        <w:rPr>
          <w:rFonts w:ascii="Arial" w:hAnsi="Arial" w:cs="Arial"/>
          <w:sz w:val="22"/>
          <w:szCs w:val="22"/>
        </w:rPr>
        <w:t>Meath County Council</w:t>
      </w:r>
      <w:r w:rsidRPr="00CA6930">
        <w:rPr>
          <w:rFonts w:ascii="Arial" w:hAnsi="Arial" w:cs="Arial"/>
          <w:sz w:val="22"/>
          <w:szCs w:val="22"/>
        </w:rPr>
        <w:t xml:space="preserve"> </w:t>
      </w:r>
      <w:r w:rsidR="006919B2" w:rsidRPr="00CA6930">
        <w:rPr>
          <w:rFonts w:ascii="Arial" w:hAnsi="Arial" w:cs="Arial"/>
          <w:sz w:val="22"/>
          <w:szCs w:val="22"/>
        </w:rPr>
        <w:t xml:space="preserve">has prepared and issued this document for the sole purpose of inviting expressions of interest from potential vendors. This document does not purport to be, in any way, comprehensive in respect of all matters relevant to the </w:t>
      </w:r>
      <w:r w:rsidR="00831F62">
        <w:rPr>
          <w:rFonts w:ascii="Arial" w:hAnsi="Arial" w:cs="Arial"/>
          <w:sz w:val="22"/>
          <w:szCs w:val="22"/>
        </w:rPr>
        <w:t>Local Authority</w:t>
      </w:r>
      <w:r w:rsidR="006919B2" w:rsidRPr="00CA6930">
        <w:rPr>
          <w:rFonts w:ascii="Arial" w:hAnsi="Arial" w:cs="Arial"/>
          <w:sz w:val="22"/>
          <w:szCs w:val="22"/>
        </w:rPr>
        <w:t xml:space="preserve"> requirements.</w:t>
      </w:r>
    </w:p>
    <w:p w14:paraId="25794A17" w14:textId="77777777" w:rsidR="00831F62" w:rsidRDefault="006919B2" w:rsidP="00CA6930">
      <w:pPr>
        <w:spacing w:line="276" w:lineRule="auto"/>
        <w:rPr>
          <w:rFonts w:ascii="Arial" w:hAnsi="Arial" w:cs="Arial"/>
          <w:sz w:val="22"/>
          <w:szCs w:val="22"/>
        </w:rPr>
      </w:pPr>
      <w:r w:rsidRPr="00CA6930">
        <w:rPr>
          <w:rFonts w:ascii="Arial" w:hAnsi="Arial" w:cs="Arial"/>
          <w:sz w:val="22"/>
          <w:szCs w:val="22"/>
        </w:rPr>
        <w:br/>
        <w:t xml:space="preserve">Nothing in this document constitutes an offer to enter into a contract, or a commitment or representation to enter into a contractual arrangement. No legal relationship or other obligation shall arise between the </w:t>
      </w:r>
      <w:r w:rsidR="000F27C0" w:rsidRPr="00CA6930">
        <w:rPr>
          <w:rFonts w:ascii="Arial" w:hAnsi="Arial" w:cs="Arial"/>
          <w:sz w:val="22"/>
          <w:szCs w:val="22"/>
        </w:rPr>
        <w:t>[</w:t>
      </w:r>
      <w:r w:rsidR="00917A89" w:rsidRPr="00CA6930">
        <w:rPr>
          <w:rFonts w:ascii="Arial" w:hAnsi="Arial" w:cs="Arial"/>
          <w:sz w:val="22"/>
          <w:szCs w:val="22"/>
        </w:rPr>
        <w:t>LA</w:t>
      </w:r>
      <w:r w:rsidR="000F27C0" w:rsidRPr="00CA6930">
        <w:rPr>
          <w:rFonts w:ascii="Arial" w:hAnsi="Arial" w:cs="Arial"/>
          <w:sz w:val="22"/>
          <w:szCs w:val="22"/>
        </w:rPr>
        <w:t xml:space="preserve">] </w:t>
      </w:r>
      <w:r w:rsidRPr="00CA6930">
        <w:rPr>
          <w:rFonts w:ascii="Arial" w:hAnsi="Arial" w:cs="Arial"/>
          <w:sz w:val="22"/>
          <w:szCs w:val="22"/>
        </w:rPr>
        <w:t>and any interested party until formal legal agreements have been put in place and any deposit paid.</w:t>
      </w:r>
    </w:p>
    <w:p w14:paraId="1B4135E9" w14:textId="293951C8" w:rsidR="000F27C0" w:rsidRPr="00CA6930" w:rsidRDefault="006919B2" w:rsidP="00CA6930">
      <w:pPr>
        <w:spacing w:line="276" w:lineRule="auto"/>
        <w:rPr>
          <w:rFonts w:ascii="Arial" w:hAnsi="Arial" w:cs="Arial"/>
          <w:sz w:val="22"/>
          <w:szCs w:val="22"/>
        </w:rPr>
      </w:pPr>
      <w:r w:rsidRPr="00CA6930">
        <w:rPr>
          <w:rFonts w:ascii="Arial" w:hAnsi="Arial" w:cs="Arial"/>
          <w:sz w:val="22"/>
          <w:szCs w:val="22"/>
        </w:rPr>
        <w:br/>
      </w:r>
      <w:r w:rsidR="005E2A30">
        <w:rPr>
          <w:rFonts w:ascii="Arial" w:hAnsi="Arial" w:cs="Arial"/>
          <w:sz w:val="22"/>
          <w:szCs w:val="22"/>
        </w:rPr>
        <w:t>Meath County Council</w:t>
      </w:r>
      <w:r w:rsidR="005E2A30" w:rsidRPr="00CA6930">
        <w:rPr>
          <w:rFonts w:ascii="Arial" w:hAnsi="Arial" w:cs="Arial"/>
          <w:sz w:val="22"/>
          <w:szCs w:val="22"/>
        </w:rPr>
        <w:t xml:space="preserve"> </w:t>
      </w:r>
      <w:r w:rsidRPr="00CA6930">
        <w:rPr>
          <w:rFonts w:ascii="Arial" w:hAnsi="Arial" w:cs="Arial"/>
          <w:sz w:val="22"/>
          <w:szCs w:val="22"/>
        </w:rPr>
        <w:t>reserves the right to withdraw its request for Expressions of Interest and to alter any aspect of it at its sole discretion.</w:t>
      </w:r>
    </w:p>
    <w:p w14:paraId="04497B6A" w14:textId="2563B8C3" w:rsidR="006919B2" w:rsidRPr="00CA6930" w:rsidRDefault="006919B2" w:rsidP="00CA6930">
      <w:pPr>
        <w:spacing w:line="276" w:lineRule="auto"/>
        <w:rPr>
          <w:rFonts w:ascii="Arial" w:hAnsi="Arial" w:cs="Arial"/>
          <w:sz w:val="22"/>
          <w:szCs w:val="22"/>
        </w:rPr>
      </w:pPr>
      <w:r w:rsidRPr="00CA6930">
        <w:rPr>
          <w:rFonts w:ascii="Arial" w:hAnsi="Arial" w:cs="Arial"/>
          <w:sz w:val="22"/>
          <w:szCs w:val="22"/>
        </w:rPr>
        <w:br/>
        <w:t xml:space="preserve">Each completed Expression of Interest which is returned </w:t>
      </w:r>
      <w:r w:rsidR="00831F62">
        <w:rPr>
          <w:rFonts w:ascii="Arial" w:hAnsi="Arial" w:cs="Arial"/>
          <w:sz w:val="22"/>
          <w:szCs w:val="22"/>
        </w:rPr>
        <w:t>to</w:t>
      </w:r>
      <w:r w:rsidR="005E2A30">
        <w:rPr>
          <w:rFonts w:ascii="Arial" w:hAnsi="Arial" w:cs="Arial"/>
          <w:sz w:val="22"/>
          <w:szCs w:val="22"/>
        </w:rPr>
        <w:t xml:space="preserve"> Meath County Council</w:t>
      </w:r>
      <w:r w:rsidR="000F27C0" w:rsidRPr="00CA6930">
        <w:rPr>
          <w:rFonts w:ascii="Arial" w:hAnsi="Arial" w:cs="Arial"/>
          <w:sz w:val="22"/>
          <w:szCs w:val="22"/>
        </w:rPr>
        <w:t xml:space="preserve"> </w:t>
      </w:r>
      <w:r w:rsidRPr="00CA6930">
        <w:rPr>
          <w:rFonts w:ascii="Arial" w:hAnsi="Arial" w:cs="Arial"/>
          <w:sz w:val="22"/>
          <w:szCs w:val="22"/>
        </w:rPr>
        <w:t>constitutes agreement to, and acceptance of, this disclaimer.</w:t>
      </w:r>
    </w:p>
    <w:p w14:paraId="482D1348" w14:textId="77777777" w:rsidR="006919B2" w:rsidRPr="00CA6930" w:rsidRDefault="006919B2" w:rsidP="00CA6930">
      <w:pPr>
        <w:spacing w:line="276" w:lineRule="auto"/>
        <w:rPr>
          <w:rFonts w:ascii="Arial" w:hAnsi="Arial" w:cs="Arial"/>
          <w:sz w:val="22"/>
          <w:szCs w:val="22"/>
        </w:rPr>
      </w:pPr>
    </w:p>
    <w:p w14:paraId="1BA3E095" w14:textId="77777777" w:rsidR="00105E35" w:rsidRPr="00CA6930" w:rsidRDefault="00105E35" w:rsidP="00CA6930">
      <w:pPr>
        <w:spacing w:line="276" w:lineRule="auto"/>
        <w:rPr>
          <w:rFonts w:ascii="Arial" w:hAnsi="Arial" w:cs="Arial"/>
          <w:sz w:val="22"/>
          <w:szCs w:val="22"/>
        </w:rPr>
      </w:pPr>
    </w:p>
    <w:p w14:paraId="045DBA7C" w14:textId="16176C56"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br w:type="page"/>
      </w:r>
    </w:p>
    <w:p w14:paraId="3F52E997" w14:textId="77777777" w:rsidR="002D7A7C" w:rsidRPr="00CA6930" w:rsidRDefault="002D7A7C" w:rsidP="00CA6930">
      <w:pPr>
        <w:spacing w:line="276" w:lineRule="auto"/>
        <w:rPr>
          <w:rFonts w:ascii="Arial" w:hAnsi="Arial" w:cs="Arial"/>
          <w:sz w:val="22"/>
          <w:szCs w:val="22"/>
        </w:rPr>
        <w:sectPr w:rsidR="002D7A7C" w:rsidRPr="00CA6930" w:rsidSect="00B43FA4">
          <w:pgSz w:w="11906" w:h="16838"/>
          <w:pgMar w:top="993" w:right="1440" w:bottom="1276" w:left="1440" w:header="142" w:footer="87" w:gutter="0"/>
          <w:cols w:space="708"/>
          <w:docGrid w:linePitch="360"/>
        </w:sectPr>
      </w:pPr>
    </w:p>
    <w:p w14:paraId="4EAF5274" w14:textId="6A01300E" w:rsidR="00694B13" w:rsidRPr="00CA6930" w:rsidRDefault="00694B13" w:rsidP="00CA6930">
      <w:pPr>
        <w:pStyle w:val="Heading2"/>
        <w:spacing w:line="276" w:lineRule="auto"/>
        <w:ind w:left="426" w:hanging="426"/>
        <w:rPr>
          <w:b w:val="0"/>
          <w:bCs w:val="0"/>
          <w:sz w:val="22"/>
          <w:szCs w:val="22"/>
        </w:rPr>
      </w:pPr>
      <w:bookmarkStart w:id="43" w:name="_Toc88063377"/>
      <w:r w:rsidRPr="00CA6930">
        <w:rPr>
          <w:sz w:val="22"/>
          <w:szCs w:val="22"/>
        </w:rPr>
        <w:lastRenderedPageBreak/>
        <w:t>Sample stage 1 Marking Sheet</w:t>
      </w:r>
      <w:bookmarkEnd w:id="43"/>
      <w:r w:rsidRPr="00CA6930">
        <w:rPr>
          <w:sz w:val="22"/>
          <w:szCs w:val="22"/>
        </w:rPr>
        <w:t xml:space="preserve"> </w:t>
      </w:r>
    </w:p>
    <w:p w14:paraId="1AC7E35E" w14:textId="6B1B7E62" w:rsidR="00B43FA4" w:rsidRPr="00CA6930" w:rsidRDefault="00B43FA4" w:rsidP="00CA6930">
      <w:pPr>
        <w:spacing w:line="276" w:lineRule="auto"/>
        <w:rPr>
          <w:rFonts w:ascii="Arial" w:hAnsi="Arial" w:cs="Arial"/>
          <w:b/>
          <w:bCs/>
          <w:sz w:val="22"/>
          <w:szCs w:val="22"/>
        </w:rPr>
      </w:pPr>
    </w:p>
    <w:tbl>
      <w:tblPr>
        <w:tblStyle w:val="TableGrid"/>
        <w:tblW w:w="0" w:type="auto"/>
        <w:tblLook w:val="04A0" w:firstRow="1" w:lastRow="0" w:firstColumn="1" w:lastColumn="0" w:noHBand="0" w:noVBand="1"/>
      </w:tblPr>
      <w:tblGrid>
        <w:gridCol w:w="554"/>
        <w:gridCol w:w="2102"/>
        <w:gridCol w:w="2112"/>
        <w:gridCol w:w="1426"/>
        <w:gridCol w:w="1427"/>
        <w:gridCol w:w="1427"/>
        <w:gridCol w:w="1427"/>
        <w:gridCol w:w="1427"/>
        <w:gridCol w:w="2658"/>
      </w:tblGrid>
      <w:tr w:rsidR="0066538A" w:rsidRPr="00CA6930" w14:paraId="725FC9C8" w14:textId="77777777" w:rsidTr="00CC6588">
        <w:tc>
          <w:tcPr>
            <w:tcW w:w="14560" w:type="dxa"/>
            <w:gridSpan w:val="9"/>
          </w:tcPr>
          <w:p w14:paraId="0EE13FF8" w14:textId="0CC0AB22" w:rsidR="0066538A" w:rsidRPr="00CA6930" w:rsidRDefault="0066538A" w:rsidP="00CA6930">
            <w:pPr>
              <w:spacing w:line="276" w:lineRule="auto"/>
              <w:rPr>
                <w:rFonts w:ascii="Arial" w:hAnsi="Arial" w:cs="Arial"/>
                <w:sz w:val="22"/>
                <w:szCs w:val="22"/>
              </w:rPr>
            </w:pPr>
            <w:r w:rsidRPr="00CA6930">
              <w:rPr>
                <w:rFonts w:ascii="Arial" w:hAnsi="Arial" w:cs="Arial"/>
                <w:sz w:val="22"/>
                <w:szCs w:val="22"/>
              </w:rPr>
              <w:t xml:space="preserve">Evaluation of </w:t>
            </w:r>
            <w:r w:rsidR="006F0F4E" w:rsidRPr="00CA6930">
              <w:rPr>
                <w:rFonts w:ascii="Arial" w:hAnsi="Arial" w:cs="Arial"/>
                <w:sz w:val="22"/>
                <w:szCs w:val="22"/>
              </w:rPr>
              <w:t>Turnkey affordable and mixed tenure submission – Stage 1 Marking sheet</w:t>
            </w:r>
          </w:p>
        </w:tc>
      </w:tr>
      <w:tr w:rsidR="006315B1" w:rsidRPr="00CA6930" w14:paraId="6306733C" w14:textId="77777777" w:rsidTr="00CC6588">
        <w:tc>
          <w:tcPr>
            <w:tcW w:w="4768" w:type="dxa"/>
            <w:gridSpan w:val="3"/>
          </w:tcPr>
          <w:p w14:paraId="79408A5B" w14:textId="3AB5DAED" w:rsidR="006315B1" w:rsidRPr="00CA6930" w:rsidRDefault="0066538A" w:rsidP="00CA6930">
            <w:pPr>
              <w:spacing w:line="276" w:lineRule="auto"/>
              <w:rPr>
                <w:rFonts w:ascii="Arial" w:hAnsi="Arial" w:cs="Arial"/>
                <w:sz w:val="22"/>
                <w:szCs w:val="22"/>
              </w:rPr>
            </w:pPr>
            <w:r w:rsidRPr="00CA6930">
              <w:rPr>
                <w:rFonts w:ascii="Arial" w:hAnsi="Arial" w:cs="Arial"/>
                <w:sz w:val="22"/>
                <w:szCs w:val="22"/>
              </w:rPr>
              <w:t>Fields to be complete by LA</w:t>
            </w:r>
          </w:p>
        </w:tc>
        <w:tc>
          <w:tcPr>
            <w:tcW w:w="9792" w:type="dxa"/>
            <w:gridSpan w:val="6"/>
          </w:tcPr>
          <w:p w14:paraId="38FD2879" w14:textId="6E2B7428" w:rsidR="006315B1" w:rsidRPr="00CA6930" w:rsidRDefault="008C7695" w:rsidP="00CA6930">
            <w:pPr>
              <w:spacing w:line="276" w:lineRule="auto"/>
              <w:rPr>
                <w:rFonts w:ascii="Arial" w:hAnsi="Arial" w:cs="Arial"/>
                <w:sz w:val="22"/>
                <w:szCs w:val="22"/>
              </w:rPr>
            </w:pPr>
            <w:r w:rsidRPr="00CA6930">
              <w:rPr>
                <w:rFonts w:ascii="Arial" w:hAnsi="Arial" w:cs="Arial"/>
                <w:sz w:val="22"/>
                <w:szCs w:val="22"/>
              </w:rPr>
              <w:t xml:space="preserve">Fields to be filled by Evaluation Panel </w:t>
            </w:r>
          </w:p>
        </w:tc>
      </w:tr>
      <w:tr w:rsidR="00963AE1" w:rsidRPr="00CA6930" w14:paraId="77373987" w14:textId="77777777" w:rsidTr="00963AE1">
        <w:tc>
          <w:tcPr>
            <w:tcW w:w="554" w:type="dxa"/>
          </w:tcPr>
          <w:p w14:paraId="5FCD02CD" w14:textId="77777777" w:rsidR="00963AE1" w:rsidRPr="00CA6930" w:rsidRDefault="00963AE1" w:rsidP="00CA6930">
            <w:pPr>
              <w:spacing w:line="276" w:lineRule="auto"/>
              <w:rPr>
                <w:rFonts w:ascii="Arial" w:hAnsi="Arial" w:cs="Arial"/>
                <w:sz w:val="22"/>
                <w:szCs w:val="22"/>
              </w:rPr>
            </w:pPr>
          </w:p>
        </w:tc>
        <w:tc>
          <w:tcPr>
            <w:tcW w:w="2102" w:type="dxa"/>
          </w:tcPr>
          <w:p w14:paraId="56F16A22" w14:textId="4EADED48"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Name</w:t>
            </w:r>
          </w:p>
        </w:tc>
        <w:tc>
          <w:tcPr>
            <w:tcW w:w="2112" w:type="dxa"/>
          </w:tcPr>
          <w:p w14:paraId="06817744" w14:textId="37A23DE3"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Address of site</w:t>
            </w:r>
          </w:p>
        </w:tc>
        <w:tc>
          <w:tcPr>
            <w:tcW w:w="1426" w:type="dxa"/>
          </w:tcPr>
          <w:p w14:paraId="2FC9282C" w14:textId="322C3AAD"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Location and suitability</w:t>
            </w:r>
          </w:p>
        </w:tc>
        <w:tc>
          <w:tcPr>
            <w:tcW w:w="1427" w:type="dxa"/>
          </w:tcPr>
          <w:p w14:paraId="5316E9DD" w14:textId="5F87682F"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Land zoning status</w:t>
            </w:r>
          </w:p>
        </w:tc>
        <w:tc>
          <w:tcPr>
            <w:tcW w:w="1427" w:type="dxa"/>
          </w:tcPr>
          <w:p w14:paraId="35A0BF84" w14:textId="407A4802"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Necessary utilities available</w:t>
            </w:r>
          </w:p>
        </w:tc>
        <w:tc>
          <w:tcPr>
            <w:tcW w:w="1427" w:type="dxa"/>
          </w:tcPr>
          <w:p w14:paraId="3116A0DF" w14:textId="6B519D63"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Affordability Gain</w:t>
            </w:r>
          </w:p>
        </w:tc>
        <w:tc>
          <w:tcPr>
            <w:tcW w:w="1427" w:type="dxa"/>
          </w:tcPr>
          <w:p w14:paraId="03D9D1DA" w14:textId="1B2F7B31"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Outcome Pass or Fail</w:t>
            </w:r>
          </w:p>
        </w:tc>
        <w:tc>
          <w:tcPr>
            <w:tcW w:w="2658" w:type="dxa"/>
          </w:tcPr>
          <w:p w14:paraId="4C265FD5" w14:textId="5EE01FCB"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Comments</w:t>
            </w:r>
          </w:p>
        </w:tc>
      </w:tr>
      <w:tr w:rsidR="004841B1" w:rsidRPr="00CA6930" w14:paraId="33600235" w14:textId="77777777" w:rsidTr="00963AE1">
        <w:tc>
          <w:tcPr>
            <w:tcW w:w="554" w:type="dxa"/>
          </w:tcPr>
          <w:p w14:paraId="6F220A6D" w14:textId="77777777" w:rsidR="004841B1" w:rsidRPr="00CA6930" w:rsidRDefault="004841B1" w:rsidP="00CA6930">
            <w:pPr>
              <w:spacing w:line="276" w:lineRule="auto"/>
              <w:rPr>
                <w:rFonts w:ascii="Arial" w:hAnsi="Arial" w:cs="Arial"/>
                <w:sz w:val="22"/>
                <w:szCs w:val="22"/>
              </w:rPr>
            </w:pPr>
          </w:p>
        </w:tc>
        <w:tc>
          <w:tcPr>
            <w:tcW w:w="2102" w:type="dxa"/>
          </w:tcPr>
          <w:p w14:paraId="07F6DA35" w14:textId="77777777" w:rsidR="004841B1" w:rsidRPr="00CA6930" w:rsidRDefault="004841B1" w:rsidP="00CA6930">
            <w:pPr>
              <w:spacing w:line="276" w:lineRule="auto"/>
              <w:rPr>
                <w:rFonts w:ascii="Arial" w:hAnsi="Arial" w:cs="Arial"/>
                <w:sz w:val="22"/>
                <w:szCs w:val="22"/>
              </w:rPr>
            </w:pPr>
          </w:p>
        </w:tc>
        <w:tc>
          <w:tcPr>
            <w:tcW w:w="2112" w:type="dxa"/>
          </w:tcPr>
          <w:p w14:paraId="241DD83B" w14:textId="77777777" w:rsidR="004841B1" w:rsidRPr="00CA6930" w:rsidRDefault="004841B1" w:rsidP="00CA6930">
            <w:pPr>
              <w:spacing w:line="276" w:lineRule="auto"/>
              <w:rPr>
                <w:rFonts w:ascii="Arial" w:hAnsi="Arial" w:cs="Arial"/>
                <w:sz w:val="22"/>
                <w:szCs w:val="22"/>
              </w:rPr>
            </w:pPr>
          </w:p>
        </w:tc>
        <w:tc>
          <w:tcPr>
            <w:tcW w:w="1426" w:type="dxa"/>
          </w:tcPr>
          <w:p w14:paraId="27FD1305" w14:textId="77777777" w:rsidR="004841B1" w:rsidRPr="00CA6930" w:rsidRDefault="004841B1" w:rsidP="00CA6930">
            <w:pPr>
              <w:spacing w:line="276" w:lineRule="auto"/>
              <w:rPr>
                <w:rFonts w:ascii="Arial" w:hAnsi="Arial" w:cs="Arial"/>
                <w:sz w:val="22"/>
                <w:szCs w:val="22"/>
              </w:rPr>
            </w:pPr>
          </w:p>
        </w:tc>
        <w:tc>
          <w:tcPr>
            <w:tcW w:w="1427" w:type="dxa"/>
          </w:tcPr>
          <w:p w14:paraId="32CF7A83" w14:textId="77777777" w:rsidR="004841B1" w:rsidRPr="00CA6930" w:rsidRDefault="004841B1" w:rsidP="00CA6930">
            <w:pPr>
              <w:spacing w:line="276" w:lineRule="auto"/>
              <w:rPr>
                <w:rFonts w:ascii="Arial" w:hAnsi="Arial" w:cs="Arial"/>
                <w:sz w:val="22"/>
                <w:szCs w:val="22"/>
              </w:rPr>
            </w:pPr>
          </w:p>
        </w:tc>
        <w:tc>
          <w:tcPr>
            <w:tcW w:w="1427" w:type="dxa"/>
          </w:tcPr>
          <w:p w14:paraId="5C9BC94E" w14:textId="77777777" w:rsidR="004841B1" w:rsidRPr="00CA6930" w:rsidRDefault="004841B1" w:rsidP="00CA6930">
            <w:pPr>
              <w:spacing w:line="276" w:lineRule="auto"/>
              <w:rPr>
                <w:rFonts w:ascii="Arial" w:hAnsi="Arial" w:cs="Arial"/>
                <w:sz w:val="22"/>
                <w:szCs w:val="22"/>
              </w:rPr>
            </w:pPr>
          </w:p>
        </w:tc>
        <w:tc>
          <w:tcPr>
            <w:tcW w:w="1427" w:type="dxa"/>
          </w:tcPr>
          <w:p w14:paraId="5F86ADBE" w14:textId="77777777" w:rsidR="004841B1" w:rsidRPr="00CA6930" w:rsidRDefault="004841B1" w:rsidP="00CA6930">
            <w:pPr>
              <w:spacing w:line="276" w:lineRule="auto"/>
              <w:rPr>
                <w:rFonts w:ascii="Arial" w:hAnsi="Arial" w:cs="Arial"/>
                <w:sz w:val="22"/>
                <w:szCs w:val="22"/>
              </w:rPr>
            </w:pPr>
          </w:p>
        </w:tc>
        <w:tc>
          <w:tcPr>
            <w:tcW w:w="1427" w:type="dxa"/>
          </w:tcPr>
          <w:p w14:paraId="4CC44E41" w14:textId="77777777" w:rsidR="004841B1" w:rsidRPr="00CA6930" w:rsidRDefault="004841B1" w:rsidP="00CA6930">
            <w:pPr>
              <w:spacing w:line="276" w:lineRule="auto"/>
              <w:rPr>
                <w:rFonts w:ascii="Arial" w:hAnsi="Arial" w:cs="Arial"/>
                <w:sz w:val="22"/>
                <w:szCs w:val="22"/>
              </w:rPr>
            </w:pPr>
          </w:p>
        </w:tc>
        <w:tc>
          <w:tcPr>
            <w:tcW w:w="2658" w:type="dxa"/>
          </w:tcPr>
          <w:p w14:paraId="21FAF399" w14:textId="77777777" w:rsidR="004841B1" w:rsidRPr="00CA6930" w:rsidRDefault="004841B1" w:rsidP="00CA6930">
            <w:pPr>
              <w:spacing w:line="276" w:lineRule="auto"/>
              <w:rPr>
                <w:rFonts w:ascii="Arial" w:hAnsi="Arial" w:cs="Arial"/>
                <w:sz w:val="22"/>
                <w:szCs w:val="22"/>
              </w:rPr>
            </w:pPr>
          </w:p>
        </w:tc>
      </w:tr>
      <w:tr w:rsidR="004841B1" w:rsidRPr="00CA6930" w14:paraId="09548CCE" w14:textId="77777777" w:rsidTr="00963AE1">
        <w:tc>
          <w:tcPr>
            <w:tcW w:w="554" w:type="dxa"/>
          </w:tcPr>
          <w:p w14:paraId="3789341E" w14:textId="77777777" w:rsidR="004841B1" w:rsidRPr="00CA6930" w:rsidRDefault="004841B1" w:rsidP="00CA6930">
            <w:pPr>
              <w:spacing w:line="276" w:lineRule="auto"/>
              <w:rPr>
                <w:rFonts w:ascii="Arial" w:hAnsi="Arial" w:cs="Arial"/>
                <w:sz w:val="22"/>
                <w:szCs w:val="22"/>
              </w:rPr>
            </w:pPr>
          </w:p>
        </w:tc>
        <w:tc>
          <w:tcPr>
            <w:tcW w:w="2102" w:type="dxa"/>
          </w:tcPr>
          <w:p w14:paraId="25A130D3" w14:textId="77777777" w:rsidR="004841B1" w:rsidRPr="00CA6930" w:rsidRDefault="004841B1" w:rsidP="00CA6930">
            <w:pPr>
              <w:spacing w:line="276" w:lineRule="auto"/>
              <w:rPr>
                <w:rFonts w:ascii="Arial" w:hAnsi="Arial" w:cs="Arial"/>
                <w:sz w:val="22"/>
                <w:szCs w:val="22"/>
              </w:rPr>
            </w:pPr>
          </w:p>
        </w:tc>
        <w:tc>
          <w:tcPr>
            <w:tcW w:w="2112" w:type="dxa"/>
          </w:tcPr>
          <w:p w14:paraId="33DAE4E5" w14:textId="77777777" w:rsidR="004841B1" w:rsidRPr="00CA6930" w:rsidRDefault="004841B1" w:rsidP="00CA6930">
            <w:pPr>
              <w:spacing w:line="276" w:lineRule="auto"/>
              <w:rPr>
                <w:rFonts w:ascii="Arial" w:hAnsi="Arial" w:cs="Arial"/>
                <w:sz w:val="22"/>
                <w:szCs w:val="22"/>
              </w:rPr>
            </w:pPr>
          </w:p>
        </w:tc>
        <w:tc>
          <w:tcPr>
            <w:tcW w:w="1426" w:type="dxa"/>
          </w:tcPr>
          <w:p w14:paraId="6F8C01A6" w14:textId="77777777" w:rsidR="004841B1" w:rsidRPr="00CA6930" w:rsidRDefault="004841B1" w:rsidP="00CA6930">
            <w:pPr>
              <w:spacing w:line="276" w:lineRule="auto"/>
              <w:rPr>
                <w:rFonts w:ascii="Arial" w:hAnsi="Arial" w:cs="Arial"/>
                <w:sz w:val="22"/>
                <w:szCs w:val="22"/>
              </w:rPr>
            </w:pPr>
          </w:p>
        </w:tc>
        <w:tc>
          <w:tcPr>
            <w:tcW w:w="1427" w:type="dxa"/>
          </w:tcPr>
          <w:p w14:paraId="6928430D" w14:textId="77777777" w:rsidR="004841B1" w:rsidRPr="00CA6930" w:rsidRDefault="004841B1" w:rsidP="00CA6930">
            <w:pPr>
              <w:spacing w:line="276" w:lineRule="auto"/>
              <w:rPr>
                <w:rFonts w:ascii="Arial" w:hAnsi="Arial" w:cs="Arial"/>
                <w:sz w:val="22"/>
                <w:szCs w:val="22"/>
              </w:rPr>
            </w:pPr>
          </w:p>
        </w:tc>
        <w:tc>
          <w:tcPr>
            <w:tcW w:w="1427" w:type="dxa"/>
          </w:tcPr>
          <w:p w14:paraId="48A12C67" w14:textId="77777777" w:rsidR="004841B1" w:rsidRPr="00CA6930" w:rsidRDefault="004841B1" w:rsidP="00CA6930">
            <w:pPr>
              <w:spacing w:line="276" w:lineRule="auto"/>
              <w:rPr>
                <w:rFonts w:ascii="Arial" w:hAnsi="Arial" w:cs="Arial"/>
                <w:sz w:val="22"/>
                <w:szCs w:val="22"/>
              </w:rPr>
            </w:pPr>
          </w:p>
        </w:tc>
        <w:tc>
          <w:tcPr>
            <w:tcW w:w="1427" w:type="dxa"/>
          </w:tcPr>
          <w:p w14:paraId="6A314DB9" w14:textId="77777777" w:rsidR="004841B1" w:rsidRPr="00CA6930" w:rsidRDefault="004841B1" w:rsidP="00CA6930">
            <w:pPr>
              <w:spacing w:line="276" w:lineRule="auto"/>
              <w:rPr>
                <w:rFonts w:ascii="Arial" w:hAnsi="Arial" w:cs="Arial"/>
                <w:sz w:val="22"/>
                <w:szCs w:val="22"/>
              </w:rPr>
            </w:pPr>
          </w:p>
        </w:tc>
        <w:tc>
          <w:tcPr>
            <w:tcW w:w="1427" w:type="dxa"/>
          </w:tcPr>
          <w:p w14:paraId="007F980A" w14:textId="77777777" w:rsidR="004841B1" w:rsidRPr="00CA6930" w:rsidRDefault="004841B1" w:rsidP="00CA6930">
            <w:pPr>
              <w:spacing w:line="276" w:lineRule="auto"/>
              <w:rPr>
                <w:rFonts w:ascii="Arial" w:hAnsi="Arial" w:cs="Arial"/>
                <w:sz w:val="22"/>
                <w:szCs w:val="22"/>
              </w:rPr>
            </w:pPr>
          </w:p>
        </w:tc>
        <w:tc>
          <w:tcPr>
            <w:tcW w:w="2658" w:type="dxa"/>
          </w:tcPr>
          <w:p w14:paraId="39F86557" w14:textId="77777777" w:rsidR="004841B1" w:rsidRPr="00CA6930" w:rsidRDefault="004841B1" w:rsidP="00CA6930">
            <w:pPr>
              <w:spacing w:line="276" w:lineRule="auto"/>
              <w:rPr>
                <w:rFonts w:ascii="Arial" w:hAnsi="Arial" w:cs="Arial"/>
                <w:sz w:val="22"/>
                <w:szCs w:val="22"/>
              </w:rPr>
            </w:pPr>
          </w:p>
        </w:tc>
      </w:tr>
      <w:tr w:rsidR="004841B1" w:rsidRPr="00CA6930" w14:paraId="33C550A8" w14:textId="77777777" w:rsidTr="00963AE1">
        <w:tc>
          <w:tcPr>
            <w:tcW w:w="554" w:type="dxa"/>
          </w:tcPr>
          <w:p w14:paraId="4B05E672" w14:textId="77777777" w:rsidR="004841B1" w:rsidRPr="00CA6930" w:rsidRDefault="004841B1" w:rsidP="00CA6930">
            <w:pPr>
              <w:spacing w:line="276" w:lineRule="auto"/>
              <w:rPr>
                <w:rFonts w:ascii="Arial" w:hAnsi="Arial" w:cs="Arial"/>
                <w:sz w:val="22"/>
                <w:szCs w:val="22"/>
              </w:rPr>
            </w:pPr>
          </w:p>
        </w:tc>
        <w:tc>
          <w:tcPr>
            <w:tcW w:w="2102" w:type="dxa"/>
          </w:tcPr>
          <w:p w14:paraId="3C668831" w14:textId="77777777" w:rsidR="004841B1" w:rsidRPr="00CA6930" w:rsidRDefault="004841B1" w:rsidP="00CA6930">
            <w:pPr>
              <w:spacing w:line="276" w:lineRule="auto"/>
              <w:rPr>
                <w:rFonts w:ascii="Arial" w:hAnsi="Arial" w:cs="Arial"/>
                <w:sz w:val="22"/>
                <w:szCs w:val="22"/>
              </w:rPr>
            </w:pPr>
          </w:p>
        </w:tc>
        <w:tc>
          <w:tcPr>
            <w:tcW w:w="2112" w:type="dxa"/>
          </w:tcPr>
          <w:p w14:paraId="4483A567" w14:textId="77777777" w:rsidR="004841B1" w:rsidRPr="00CA6930" w:rsidRDefault="004841B1" w:rsidP="00CA6930">
            <w:pPr>
              <w:spacing w:line="276" w:lineRule="auto"/>
              <w:rPr>
                <w:rFonts w:ascii="Arial" w:hAnsi="Arial" w:cs="Arial"/>
                <w:sz w:val="22"/>
                <w:szCs w:val="22"/>
              </w:rPr>
            </w:pPr>
          </w:p>
        </w:tc>
        <w:tc>
          <w:tcPr>
            <w:tcW w:w="1426" w:type="dxa"/>
          </w:tcPr>
          <w:p w14:paraId="096D45F3" w14:textId="77777777" w:rsidR="004841B1" w:rsidRPr="00CA6930" w:rsidRDefault="004841B1" w:rsidP="00CA6930">
            <w:pPr>
              <w:spacing w:line="276" w:lineRule="auto"/>
              <w:rPr>
                <w:rFonts w:ascii="Arial" w:hAnsi="Arial" w:cs="Arial"/>
                <w:sz w:val="22"/>
                <w:szCs w:val="22"/>
              </w:rPr>
            </w:pPr>
          </w:p>
        </w:tc>
        <w:tc>
          <w:tcPr>
            <w:tcW w:w="1427" w:type="dxa"/>
          </w:tcPr>
          <w:p w14:paraId="40213379" w14:textId="77777777" w:rsidR="004841B1" w:rsidRPr="00CA6930" w:rsidRDefault="004841B1" w:rsidP="00CA6930">
            <w:pPr>
              <w:spacing w:line="276" w:lineRule="auto"/>
              <w:rPr>
                <w:rFonts w:ascii="Arial" w:hAnsi="Arial" w:cs="Arial"/>
                <w:sz w:val="22"/>
                <w:szCs w:val="22"/>
              </w:rPr>
            </w:pPr>
          </w:p>
        </w:tc>
        <w:tc>
          <w:tcPr>
            <w:tcW w:w="1427" w:type="dxa"/>
          </w:tcPr>
          <w:p w14:paraId="54C08BA3" w14:textId="77777777" w:rsidR="004841B1" w:rsidRPr="00CA6930" w:rsidRDefault="004841B1" w:rsidP="00CA6930">
            <w:pPr>
              <w:spacing w:line="276" w:lineRule="auto"/>
              <w:rPr>
                <w:rFonts w:ascii="Arial" w:hAnsi="Arial" w:cs="Arial"/>
                <w:sz w:val="22"/>
                <w:szCs w:val="22"/>
              </w:rPr>
            </w:pPr>
          </w:p>
        </w:tc>
        <w:tc>
          <w:tcPr>
            <w:tcW w:w="1427" w:type="dxa"/>
          </w:tcPr>
          <w:p w14:paraId="79B9CE84" w14:textId="77777777" w:rsidR="004841B1" w:rsidRPr="00CA6930" w:rsidRDefault="004841B1" w:rsidP="00CA6930">
            <w:pPr>
              <w:spacing w:line="276" w:lineRule="auto"/>
              <w:rPr>
                <w:rFonts w:ascii="Arial" w:hAnsi="Arial" w:cs="Arial"/>
                <w:sz w:val="22"/>
                <w:szCs w:val="22"/>
              </w:rPr>
            </w:pPr>
          </w:p>
        </w:tc>
        <w:tc>
          <w:tcPr>
            <w:tcW w:w="1427" w:type="dxa"/>
          </w:tcPr>
          <w:p w14:paraId="6834AA24" w14:textId="77777777" w:rsidR="004841B1" w:rsidRPr="00CA6930" w:rsidRDefault="004841B1" w:rsidP="00CA6930">
            <w:pPr>
              <w:spacing w:line="276" w:lineRule="auto"/>
              <w:rPr>
                <w:rFonts w:ascii="Arial" w:hAnsi="Arial" w:cs="Arial"/>
                <w:sz w:val="22"/>
                <w:szCs w:val="22"/>
              </w:rPr>
            </w:pPr>
          </w:p>
        </w:tc>
        <w:tc>
          <w:tcPr>
            <w:tcW w:w="2658" w:type="dxa"/>
          </w:tcPr>
          <w:p w14:paraId="47702196" w14:textId="77777777" w:rsidR="004841B1" w:rsidRPr="00CA6930" w:rsidRDefault="004841B1" w:rsidP="00CA6930">
            <w:pPr>
              <w:spacing w:line="276" w:lineRule="auto"/>
              <w:rPr>
                <w:rFonts w:ascii="Arial" w:hAnsi="Arial" w:cs="Arial"/>
                <w:sz w:val="22"/>
                <w:szCs w:val="22"/>
              </w:rPr>
            </w:pPr>
          </w:p>
        </w:tc>
      </w:tr>
      <w:tr w:rsidR="00963AE1" w:rsidRPr="00CA6930" w14:paraId="428C4FC8" w14:textId="77777777" w:rsidTr="00963AE1">
        <w:tc>
          <w:tcPr>
            <w:tcW w:w="554" w:type="dxa"/>
          </w:tcPr>
          <w:p w14:paraId="1CA6F75E" w14:textId="6E280DF3"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1</w:t>
            </w:r>
          </w:p>
        </w:tc>
        <w:tc>
          <w:tcPr>
            <w:tcW w:w="2102" w:type="dxa"/>
          </w:tcPr>
          <w:p w14:paraId="4C6C866C" w14:textId="77777777" w:rsidR="00963AE1" w:rsidRPr="00CA6930" w:rsidRDefault="00963AE1" w:rsidP="00CA6930">
            <w:pPr>
              <w:spacing w:line="276" w:lineRule="auto"/>
              <w:rPr>
                <w:rFonts w:ascii="Arial" w:hAnsi="Arial" w:cs="Arial"/>
                <w:sz w:val="22"/>
                <w:szCs w:val="22"/>
              </w:rPr>
            </w:pPr>
          </w:p>
        </w:tc>
        <w:tc>
          <w:tcPr>
            <w:tcW w:w="2112" w:type="dxa"/>
          </w:tcPr>
          <w:p w14:paraId="7A6DBCB1" w14:textId="77777777" w:rsidR="00963AE1" w:rsidRPr="00CA6930" w:rsidRDefault="00963AE1" w:rsidP="00CA6930">
            <w:pPr>
              <w:spacing w:line="276" w:lineRule="auto"/>
              <w:rPr>
                <w:rFonts w:ascii="Arial" w:hAnsi="Arial" w:cs="Arial"/>
                <w:sz w:val="22"/>
                <w:szCs w:val="22"/>
              </w:rPr>
            </w:pPr>
          </w:p>
        </w:tc>
        <w:tc>
          <w:tcPr>
            <w:tcW w:w="1426" w:type="dxa"/>
          </w:tcPr>
          <w:p w14:paraId="5EECBBE0" w14:textId="77777777" w:rsidR="00963AE1" w:rsidRPr="00CA6930" w:rsidRDefault="00963AE1" w:rsidP="00CA6930">
            <w:pPr>
              <w:spacing w:line="276" w:lineRule="auto"/>
              <w:rPr>
                <w:rFonts w:ascii="Arial" w:hAnsi="Arial" w:cs="Arial"/>
                <w:sz w:val="22"/>
                <w:szCs w:val="22"/>
              </w:rPr>
            </w:pPr>
          </w:p>
        </w:tc>
        <w:tc>
          <w:tcPr>
            <w:tcW w:w="1427" w:type="dxa"/>
          </w:tcPr>
          <w:p w14:paraId="3AF057AB" w14:textId="77777777" w:rsidR="00963AE1" w:rsidRPr="00CA6930" w:rsidRDefault="00963AE1" w:rsidP="00CA6930">
            <w:pPr>
              <w:spacing w:line="276" w:lineRule="auto"/>
              <w:rPr>
                <w:rFonts w:ascii="Arial" w:hAnsi="Arial" w:cs="Arial"/>
                <w:sz w:val="22"/>
                <w:szCs w:val="22"/>
              </w:rPr>
            </w:pPr>
          </w:p>
        </w:tc>
        <w:tc>
          <w:tcPr>
            <w:tcW w:w="1427" w:type="dxa"/>
          </w:tcPr>
          <w:p w14:paraId="0548BB75" w14:textId="77777777" w:rsidR="00963AE1" w:rsidRPr="00CA6930" w:rsidRDefault="00963AE1" w:rsidP="00CA6930">
            <w:pPr>
              <w:spacing w:line="276" w:lineRule="auto"/>
              <w:rPr>
                <w:rFonts w:ascii="Arial" w:hAnsi="Arial" w:cs="Arial"/>
                <w:sz w:val="22"/>
                <w:szCs w:val="22"/>
              </w:rPr>
            </w:pPr>
          </w:p>
        </w:tc>
        <w:tc>
          <w:tcPr>
            <w:tcW w:w="1427" w:type="dxa"/>
          </w:tcPr>
          <w:p w14:paraId="3160060D" w14:textId="4CCD9137" w:rsidR="00963AE1" w:rsidRPr="00CA6930" w:rsidRDefault="00963AE1" w:rsidP="00CA6930">
            <w:pPr>
              <w:spacing w:line="276" w:lineRule="auto"/>
              <w:rPr>
                <w:rFonts w:ascii="Arial" w:hAnsi="Arial" w:cs="Arial"/>
                <w:sz w:val="22"/>
                <w:szCs w:val="22"/>
              </w:rPr>
            </w:pPr>
          </w:p>
        </w:tc>
        <w:tc>
          <w:tcPr>
            <w:tcW w:w="1427" w:type="dxa"/>
          </w:tcPr>
          <w:p w14:paraId="75E075B1" w14:textId="77777777" w:rsidR="00963AE1" w:rsidRPr="00CA6930" w:rsidRDefault="00963AE1" w:rsidP="00CA6930">
            <w:pPr>
              <w:spacing w:line="276" w:lineRule="auto"/>
              <w:rPr>
                <w:rFonts w:ascii="Arial" w:hAnsi="Arial" w:cs="Arial"/>
                <w:sz w:val="22"/>
                <w:szCs w:val="22"/>
              </w:rPr>
            </w:pPr>
          </w:p>
        </w:tc>
        <w:tc>
          <w:tcPr>
            <w:tcW w:w="2658" w:type="dxa"/>
          </w:tcPr>
          <w:p w14:paraId="4BD4ECC6" w14:textId="5FDB29D3" w:rsidR="00963AE1" w:rsidRPr="00CA6930" w:rsidRDefault="00963AE1" w:rsidP="00CA6930">
            <w:pPr>
              <w:spacing w:line="276" w:lineRule="auto"/>
              <w:rPr>
                <w:rFonts w:ascii="Arial" w:hAnsi="Arial" w:cs="Arial"/>
                <w:sz w:val="22"/>
                <w:szCs w:val="22"/>
              </w:rPr>
            </w:pPr>
          </w:p>
        </w:tc>
      </w:tr>
      <w:tr w:rsidR="00963AE1" w:rsidRPr="00CA6930" w14:paraId="24173584" w14:textId="77777777" w:rsidTr="00963AE1">
        <w:tc>
          <w:tcPr>
            <w:tcW w:w="554" w:type="dxa"/>
          </w:tcPr>
          <w:p w14:paraId="1BDD7C0F" w14:textId="2BF18A1E"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2</w:t>
            </w:r>
          </w:p>
        </w:tc>
        <w:tc>
          <w:tcPr>
            <w:tcW w:w="2102" w:type="dxa"/>
          </w:tcPr>
          <w:p w14:paraId="1AECFB1B" w14:textId="77777777" w:rsidR="00963AE1" w:rsidRPr="00CA6930" w:rsidRDefault="00963AE1" w:rsidP="00CA6930">
            <w:pPr>
              <w:spacing w:line="276" w:lineRule="auto"/>
              <w:rPr>
                <w:rFonts w:ascii="Arial" w:hAnsi="Arial" w:cs="Arial"/>
                <w:sz w:val="22"/>
                <w:szCs w:val="22"/>
              </w:rPr>
            </w:pPr>
          </w:p>
        </w:tc>
        <w:tc>
          <w:tcPr>
            <w:tcW w:w="2112" w:type="dxa"/>
          </w:tcPr>
          <w:p w14:paraId="106A025E" w14:textId="77777777" w:rsidR="00963AE1" w:rsidRPr="00CA6930" w:rsidRDefault="00963AE1" w:rsidP="00CA6930">
            <w:pPr>
              <w:spacing w:line="276" w:lineRule="auto"/>
              <w:rPr>
                <w:rFonts w:ascii="Arial" w:hAnsi="Arial" w:cs="Arial"/>
                <w:sz w:val="22"/>
                <w:szCs w:val="22"/>
              </w:rPr>
            </w:pPr>
          </w:p>
        </w:tc>
        <w:tc>
          <w:tcPr>
            <w:tcW w:w="1426" w:type="dxa"/>
          </w:tcPr>
          <w:p w14:paraId="4DE99588" w14:textId="77777777" w:rsidR="00963AE1" w:rsidRPr="00CA6930" w:rsidRDefault="00963AE1" w:rsidP="00CA6930">
            <w:pPr>
              <w:spacing w:line="276" w:lineRule="auto"/>
              <w:rPr>
                <w:rFonts w:ascii="Arial" w:hAnsi="Arial" w:cs="Arial"/>
                <w:sz w:val="22"/>
                <w:szCs w:val="22"/>
              </w:rPr>
            </w:pPr>
          </w:p>
        </w:tc>
        <w:tc>
          <w:tcPr>
            <w:tcW w:w="1427" w:type="dxa"/>
          </w:tcPr>
          <w:p w14:paraId="151A63E4" w14:textId="77777777" w:rsidR="00963AE1" w:rsidRPr="00CA6930" w:rsidRDefault="00963AE1" w:rsidP="00CA6930">
            <w:pPr>
              <w:spacing w:line="276" w:lineRule="auto"/>
              <w:rPr>
                <w:rFonts w:ascii="Arial" w:hAnsi="Arial" w:cs="Arial"/>
                <w:sz w:val="22"/>
                <w:szCs w:val="22"/>
              </w:rPr>
            </w:pPr>
          </w:p>
        </w:tc>
        <w:tc>
          <w:tcPr>
            <w:tcW w:w="1427" w:type="dxa"/>
          </w:tcPr>
          <w:p w14:paraId="2EA45305" w14:textId="77777777" w:rsidR="00963AE1" w:rsidRPr="00CA6930" w:rsidRDefault="00963AE1" w:rsidP="00CA6930">
            <w:pPr>
              <w:spacing w:line="276" w:lineRule="auto"/>
              <w:rPr>
                <w:rFonts w:ascii="Arial" w:hAnsi="Arial" w:cs="Arial"/>
                <w:sz w:val="22"/>
                <w:szCs w:val="22"/>
              </w:rPr>
            </w:pPr>
          </w:p>
        </w:tc>
        <w:tc>
          <w:tcPr>
            <w:tcW w:w="1427" w:type="dxa"/>
          </w:tcPr>
          <w:p w14:paraId="3076E15E" w14:textId="3F2FFA5B" w:rsidR="00963AE1" w:rsidRPr="00CA6930" w:rsidRDefault="00963AE1" w:rsidP="00CA6930">
            <w:pPr>
              <w:spacing w:line="276" w:lineRule="auto"/>
              <w:rPr>
                <w:rFonts w:ascii="Arial" w:hAnsi="Arial" w:cs="Arial"/>
                <w:sz w:val="22"/>
                <w:szCs w:val="22"/>
              </w:rPr>
            </w:pPr>
          </w:p>
        </w:tc>
        <w:tc>
          <w:tcPr>
            <w:tcW w:w="1427" w:type="dxa"/>
          </w:tcPr>
          <w:p w14:paraId="2C147AA5" w14:textId="77777777" w:rsidR="00963AE1" w:rsidRPr="00CA6930" w:rsidRDefault="00963AE1" w:rsidP="00CA6930">
            <w:pPr>
              <w:spacing w:line="276" w:lineRule="auto"/>
              <w:rPr>
                <w:rFonts w:ascii="Arial" w:hAnsi="Arial" w:cs="Arial"/>
                <w:sz w:val="22"/>
                <w:szCs w:val="22"/>
              </w:rPr>
            </w:pPr>
          </w:p>
        </w:tc>
        <w:tc>
          <w:tcPr>
            <w:tcW w:w="2658" w:type="dxa"/>
          </w:tcPr>
          <w:p w14:paraId="5BB0AE2F" w14:textId="0CBF906E" w:rsidR="00963AE1" w:rsidRPr="00CA6930" w:rsidRDefault="00963AE1" w:rsidP="00CA6930">
            <w:pPr>
              <w:spacing w:line="276" w:lineRule="auto"/>
              <w:rPr>
                <w:rFonts w:ascii="Arial" w:hAnsi="Arial" w:cs="Arial"/>
                <w:sz w:val="22"/>
                <w:szCs w:val="22"/>
              </w:rPr>
            </w:pPr>
          </w:p>
        </w:tc>
      </w:tr>
      <w:tr w:rsidR="00963AE1" w:rsidRPr="00CA6930" w14:paraId="1974CBD2" w14:textId="77777777" w:rsidTr="00963AE1">
        <w:tc>
          <w:tcPr>
            <w:tcW w:w="554" w:type="dxa"/>
          </w:tcPr>
          <w:p w14:paraId="296CC6C5" w14:textId="09166D4D"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3</w:t>
            </w:r>
          </w:p>
        </w:tc>
        <w:tc>
          <w:tcPr>
            <w:tcW w:w="2102" w:type="dxa"/>
          </w:tcPr>
          <w:p w14:paraId="4D1247C9" w14:textId="77777777" w:rsidR="00963AE1" w:rsidRPr="00CA6930" w:rsidRDefault="00963AE1" w:rsidP="00CA6930">
            <w:pPr>
              <w:spacing w:line="276" w:lineRule="auto"/>
              <w:rPr>
                <w:rFonts w:ascii="Arial" w:hAnsi="Arial" w:cs="Arial"/>
                <w:sz w:val="22"/>
                <w:szCs w:val="22"/>
              </w:rPr>
            </w:pPr>
          </w:p>
        </w:tc>
        <w:tc>
          <w:tcPr>
            <w:tcW w:w="2112" w:type="dxa"/>
          </w:tcPr>
          <w:p w14:paraId="5158CA27" w14:textId="77777777" w:rsidR="00963AE1" w:rsidRPr="00CA6930" w:rsidRDefault="00963AE1" w:rsidP="00CA6930">
            <w:pPr>
              <w:spacing w:line="276" w:lineRule="auto"/>
              <w:rPr>
                <w:rFonts w:ascii="Arial" w:hAnsi="Arial" w:cs="Arial"/>
                <w:sz w:val="22"/>
                <w:szCs w:val="22"/>
              </w:rPr>
            </w:pPr>
          </w:p>
        </w:tc>
        <w:tc>
          <w:tcPr>
            <w:tcW w:w="1426" w:type="dxa"/>
          </w:tcPr>
          <w:p w14:paraId="565015BB" w14:textId="77777777" w:rsidR="00963AE1" w:rsidRPr="00CA6930" w:rsidRDefault="00963AE1" w:rsidP="00CA6930">
            <w:pPr>
              <w:spacing w:line="276" w:lineRule="auto"/>
              <w:rPr>
                <w:rFonts w:ascii="Arial" w:hAnsi="Arial" w:cs="Arial"/>
                <w:sz w:val="22"/>
                <w:szCs w:val="22"/>
              </w:rPr>
            </w:pPr>
          </w:p>
        </w:tc>
        <w:tc>
          <w:tcPr>
            <w:tcW w:w="1427" w:type="dxa"/>
          </w:tcPr>
          <w:p w14:paraId="595E7F6C" w14:textId="77777777" w:rsidR="00963AE1" w:rsidRPr="00CA6930" w:rsidRDefault="00963AE1" w:rsidP="00CA6930">
            <w:pPr>
              <w:spacing w:line="276" w:lineRule="auto"/>
              <w:rPr>
                <w:rFonts w:ascii="Arial" w:hAnsi="Arial" w:cs="Arial"/>
                <w:sz w:val="22"/>
                <w:szCs w:val="22"/>
              </w:rPr>
            </w:pPr>
          </w:p>
        </w:tc>
        <w:tc>
          <w:tcPr>
            <w:tcW w:w="1427" w:type="dxa"/>
          </w:tcPr>
          <w:p w14:paraId="1C8587C5" w14:textId="77777777" w:rsidR="00963AE1" w:rsidRPr="00CA6930" w:rsidRDefault="00963AE1" w:rsidP="00CA6930">
            <w:pPr>
              <w:spacing w:line="276" w:lineRule="auto"/>
              <w:rPr>
                <w:rFonts w:ascii="Arial" w:hAnsi="Arial" w:cs="Arial"/>
                <w:sz w:val="22"/>
                <w:szCs w:val="22"/>
              </w:rPr>
            </w:pPr>
          </w:p>
        </w:tc>
        <w:tc>
          <w:tcPr>
            <w:tcW w:w="1427" w:type="dxa"/>
          </w:tcPr>
          <w:p w14:paraId="194B3FEF" w14:textId="21FDB13F" w:rsidR="00963AE1" w:rsidRPr="00CA6930" w:rsidRDefault="00963AE1" w:rsidP="00CA6930">
            <w:pPr>
              <w:spacing w:line="276" w:lineRule="auto"/>
              <w:rPr>
                <w:rFonts w:ascii="Arial" w:hAnsi="Arial" w:cs="Arial"/>
                <w:sz w:val="22"/>
                <w:szCs w:val="22"/>
              </w:rPr>
            </w:pPr>
          </w:p>
        </w:tc>
        <w:tc>
          <w:tcPr>
            <w:tcW w:w="1427" w:type="dxa"/>
          </w:tcPr>
          <w:p w14:paraId="5A209185" w14:textId="77777777" w:rsidR="00963AE1" w:rsidRPr="00CA6930" w:rsidRDefault="00963AE1" w:rsidP="00CA6930">
            <w:pPr>
              <w:spacing w:line="276" w:lineRule="auto"/>
              <w:rPr>
                <w:rFonts w:ascii="Arial" w:hAnsi="Arial" w:cs="Arial"/>
                <w:sz w:val="22"/>
                <w:szCs w:val="22"/>
              </w:rPr>
            </w:pPr>
          </w:p>
        </w:tc>
        <w:tc>
          <w:tcPr>
            <w:tcW w:w="2658" w:type="dxa"/>
          </w:tcPr>
          <w:p w14:paraId="76E0644D" w14:textId="2C5F2BD0" w:rsidR="00963AE1" w:rsidRPr="00CA6930" w:rsidRDefault="00963AE1" w:rsidP="00CA6930">
            <w:pPr>
              <w:spacing w:line="276" w:lineRule="auto"/>
              <w:rPr>
                <w:rFonts w:ascii="Arial" w:hAnsi="Arial" w:cs="Arial"/>
                <w:sz w:val="22"/>
                <w:szCs w:val="22"/>
              </w:rPr>
            </w:pPr>
          </w:p>
        </w:tc>
      </w:tr>
      <w:tr w:rsidR="00963AE1" w:rsidRPr="00CA6930" w14:paraId="01E2A3D9" w14:textId="77777777" w:rsidTr="00963AE1">
        <w:tc>
          <w:tcPr>
            <w:tcW w:w="554" w:type="dxa"/>
          </w:tcPr>
          <w:p w14:paraId="30BBF5DB" w14:textId="3E8E44CF" w:rsidR="00963AE1" w:rsidRPr="00CA6930" w:rsidRDefault="00963AE1" w:rsidP="00CA6930">
            <w:pPr>
              <w:spacing w:line="276" w:lineRule="auto"/>
              <w:rPr>
                <w:rFonts w:ascii="Arial" w:hAnsi="Arial" w:cs="Arial"/>
                <w:sz w:val="22"/>
                <w:szCs w:val="22"/>
              </w:rPr>
            </w:pPr>
            <w:r w:rsidRPr="00CA6930">
              <w:rPr>
                <w:rFonts w:ascii="Arial" w:hAnsi="Arial" w:cs="Arial"/>
                <w:sz w:val="22"/>
                <w:szCs w:val="22"/>
              </w:rPr>
              <w:t>4</w:t>
            </w:r>
          </w:p>
        </w:tc>
        <w:tc>
          <w:tcPr>
            <w:tcW w:w="2102" w:type="dxa"/>
          </w:tcPr>
          <w:p w14:paraId="35D39FBC" w14:textId="77777777" w:rsidR="00963AE1" w:rsidRPr="00CA6930" w:rsidRDefault="00963AE1" w:rsidP="00CA6930">
            <w:pPr>
              <w:spacing w:line="276" w:lineRule="auto"/>
              <w:rPr>
                <w:rFonts w:ascii="Arial" w:hAnsi="Arial" w:cs="Arial"/>
                <w:sz w:val="22"/>
                <w:szCs w:val="22"/>
              </w:rPr>
            </w:pPr>
          </w:p>
        </w:tc>
        <w:tc>
          <w:tcPr>
            <w:tcW w:w="2112" w:type="dxa"/>
          </w:tcPr>
          <w:p w14:paraId="12A3CC96" w14:textId="77777777" w:rsidR="00963AE1" w:rsidRPr="00CA6930" w:rsidRDefault="00963AE1" w:rsidP="00CA6930">
            <w:pPr>
              <w:spacing w:line="276" w:lineRule="auto"/>
              <w:rPr>
                <w:rFonts w:ascii="Arial" w:hAnsi="Arial" w:cs="Arial"/>
                <w:sz w:val="22"/>
                <w:szCs w:val="22"/>
              </w:rPr>
            </w:pPr>
          </w:p>
        </w:tc>
        <w:tc>
          <w:tcPr>
            <w:tcW w:w="1426" w:type="dxa"/>
          </w:tcPr>
          <w:p w14:paraId="30EC4F70" w14:textId="77777777" w:rsidR="00963AE1" w:rsidRPr="00CA6930" w:rsidRDefault="00963AE1" w:rsidP="00CA6930">
            <w:pPr>
              <w:spacing w:line="276" w:lineRule="auto"/>
              <w:rPr>
                <w:rFonts w:ascii="Arial" w:hAnsi="Arial" w:cs="Arial"/>
                <w:sz w:val="22"/>
                <w:szCs w:val="22"/>
              </w:rPr>
            </w:pPr>
          </w:p>
        </w:tc>
        <w:tc>
          <w:tcPr>
            <w:tcW w:w="1427" w:type="dxa"/>
          </w:tcPr>
          <w:p w14:paraId="74B05752" w14:textId="77777777" w:rsidR="00963AE1" w:rsidRPr="00CA6930" w:rsidRDefault="00963AE1" w:rsidP="00CA6930">
            <w:pPr>
              <w:spacing w:line="276" w:lineRule="auto"/>
              <w:rPr>
                <w:rFonts w:ascii="Arial" w:hAnsi="Arial" w:cs="Arial"/>
                <w:sz w:val="22"/>
                <w:szCs w:val="22"/>
              </w:rPr>
            </w:pPr>
          </w:p>
        </w:tc>
        <w:tc>
          <w:tcPr>
            <w:tcW w:w="1427" w:type="dxa"/>
          </w:tcPr>
          <w:p w14:paraId="69DDD207" w14:textId="77777777" w:rsidR="00963AE1" w:rsidRPr="00CA6930" w:rsidRDefault="00963AE1" w:rsidP="00CA6930">
            <w:pPr>
              <w:spacing w:line="276" w:lineRule="auto"/>
              <w:rPr>
                <w:rFonts w:ascii="Arial" w:hAnsi="Arial" w:cs="Arial"/>
                <w:sz w:val="22"/>
                <w:szCs w:val="22"/>
              </w:rPr>
            </w:pPr>
          </w:p>
        </w:tc>
        <w:tc>
          <w:tcPr>
            <w:tcW w:w="1427" w:type="dxa"/>
          </w:tcPr>
          <w:p w14:paraId="2C12EA9D" w14:textId="4B21C70B" w:rsidR="00963AE1" w:rsidRPr="00CA6930" w:rsidRDefault="00963AE1" w:rsidP="00CA6930">
            <w:pPr>
              <w:spacing w:line="276" w:lineRule="auto"/>
              <w:rPr>
                <w:rFonts w:ascii="Arial" w:hAnsi="Arial" w:cs="Arial"/>
                <w:sz w:val="22"/>
                <w:szCs w:val="22"/>
              </w:rPr>
            </w:pPr>
          </w:p>
        </w:tc>
        <w:tc>
          <w:tcPr>
            <w:tcW w:w="1427" w:type="dxa"/>
          </w:tcPr>
          <w:p w14:paraId="392BF6CD" w14:textId="77777777" w:rsidR="00963AE1" w:rsidRPr="00CA6930" w:rsidRDefault="00963AE1" w:rsidP="00CA6930">
            <w:pPr>
              <w:spacing w:line="276" w:lineRule="auto"/>
              <w:rPr>
                <w:rFonts w:ascii="Arial" w:hAnsi="Arial" w:cs="Arial"/>
                <w:sz w:val="22"/>
                <w:szCs w:val="22"/>
              </w:rPr>
            </w:pPr>
          </w:p>
        </w:tc>
        <w:tc>
          <w:tcPr>
            <w:tcW w:w="2658" w:type="dxa"/>
          </w:tcPr>
          <w:p w14:paraId="6CBF4C65" w14:textId="2F06F684" w:rsidR="00963AE1" w:rsidRPr="00CA6930" w:rsidRDefault="00963AE1" w:rsidP="00CA6930">
            <w:pPr>
              <w:spacing w:line="276" w:lineRule="auto"/>
              <w:rPr>
                <w:rFonts w:ascii="Arial" w:hAnsi="Arial" w:cs="Arial"/>
                <w:sz w:val="22"/>
                <w:szCs w:val="22"/>
              </w:rPr>
            </w:pPr>
          </w:p>
        </w:tc>
      </w:tr>
      <w:tr w:rsidR="00CB3158" w:rsidRPr="00CA6930" w14:paraId="51FC5227" w14:textId="77777777" w:rsidTr="00963AE1">
        <w:tc>
          <w:tcPr>
            <w:tcW w:w="554" w:type="dxa"/>
          </w:tcPr>
          <w:p w14:paraId="6987FA22" w14:textId="24CB58D3" w:rsidR="00CB3158" w:rsidRPr="00CA6930" w:rsidRDefault="00CB3158" w:rsidP="00CA6930">
            <w:pPr>
              <w:spacing w:line="276" w:lineRule="auto"/>
              <w:rPr>
                <w:rFonts w:ascii="Arial" w:hAnsi="Arial" w:cs="Arial"/>
                <w:sz w:val="22"/>
                <w:szCs w:val="22"/>
              </w:rPr>
            </w:pPr>
            <w:r w:rsidRPr="00CA6930">
              <w:rPr>
                <w:rFonts w:ascii="Arial" w:hAnsi="Arial" w:cs="Arial"/>
                <w:sz w:val="22"/>
                <w:szCs w:val="22"/>
              </w:rPr>
              <w:t>5</w:t>
            </w:r>
          </w:p>
        </w:tc>
        <w:tc>
          <w:tcPr>
            <w:tcW w:w="2102" w:type="dxa"/>
          </w:tcPr>
          <w:p w14:paraId="2093E9A8" w14:textId="77777777" w:rsidR="00CB3158" w:rsidRPr="00CA6930" w:rsidRDefault="00CB3158" w:rsidP="00CA6930">
            <w:pPr>
              <w:spacing w:line="276" w:lineRule="auto"/>
              <w:rPr>
                <w:rFonts w:ascii="Arial" w:hAnsi="Arial" w:cs="Arial"/>
                <w:sz w:val="22"/>
                <w:szCs w:val="22"/>
              </w:rPr>
            </w:pPr>
          </w:p>
        </w:tc>
        <w:tc>
          <w:tcPr>
            <w:tcW w:w="2112" w:type="dxa"/>
          </w:tcPr>
          <w:p w14:paraId="65779CCF" w14:textId="77777777" w:rsidR="00CB3158" w:rsidRPr="00CA6930" w:rsidRDefault="00CB3158" w:rsidP="00CA6930">
            <w:pPr>
              <w:spacing w:line="276" w:lineRule="auto"/>
              <w:rPr>
                <w:rFonts w:ascii="Arial" w:hAnsi="Arial" w:cs="Arial"/>
                <w:sz w:val="22"/>
                <w:szCs w:val="22"/>
              </w:rPr>
            </w:pPr>
          </w:p>
        </w:tc>
        <w:tc>
          <w:tcPr>
            <w:tcW w:w="1426" w:type="dxa"/>
          </w:tcPr>
          <w:p w14:paraId="38C795AE" w14:textId="77777777" w:rsidR="00CB3158" w:rsidRPr="00CA6930" w:rsidRDefault="00CB3158" w:rsidP="00CA6930">
            <w:pPr>
              <w:spacing w:line="276" w:lineRule="auto"/>
              <w:rPr>
                <w:rFonts w:ascii="Arial" w:hAnsi="Arial" w:cs="Arial"/>
                <w:sz w:val="22"/>
                <w:szCs w:val="22"/>
              </w:rPr>
            </w:pPr>
          </w:p>
        </w:tc>
        <w:tc>
          <w:tcPr>
            <w:tcW w:w="1427" w:type="dxa"/>
          </w:tcPr>
          <w:p w14:paraId="5BC5FDF0" w14:textId="77777777" w:rsidR="00CB3158" w:rsidRPr="00CA6930" w:rsidRDefault="00CB3158" w:rsidP="00CA6930">
            <w:pPr>
              <w:spacing w:line="276" w:lineRule="auto"/>
              <w:rPr>
                <w:rFonts w:ascii="Arial" w:hAnsi="Arial" w:cs="Arial"/>
                <w:sz w:val="22"/>
                <w:szCs w:val="22"/>
              </w:rPr>
            </w:pPr>
          </w:p>
        </w:tc>
        <w:tc>
          <w:tcPr>
            <w:tcW w:w="1427" w:type="dxa"/>
          </w:tcPr>
          <w:p w14:paraId="55ABD633" w14:textId="77777777" w:rsidR="00CB3158" w:rsidRPr="00CA6930" w:rsidRDefault="00CB3158" w:rsidP="00CA6930">
            <w:pPr>
              <w:spacing w:line="276" w:lineRule="auto"/>
              <w:rPr>
                <w:rFonts w:ascii="Arial" w:hAnsi="Arial" w:cs="Arial"/>
                <w:sz w:val="22"/>
                <w:szCs w:val="22"/>
              </w:rPr>
            </w:pPr>
          </w:p>
        </w:tc>
        <w:tc>
          <w:tcPr>
            <w:tcW w:w="1427" w:type="dxa"/>
          </w:tcPr>
          <w:p w14:paraId="3C453F97" w14:textId="77777777" w:rsidR="00CB3158" w:rsidRPr="00CA6930" w:rsidRDefault="00CB3158" w:rsidP="00CA6930">
            <w:pPr>
              <w:spacing w:line="276" w:lineRule="auto"/>
              <w:rPr>
                <w:rFonts w:ascii="Arial" w:hAnsi="Arial" w:cs="Arial"/>
                <w:sz w:val="22"/>
                <w:szCs w:val="22"/>
              </w:rPr>
            </w:pPr>
          </w:p>
        </w:tc>
        <w:tc>
          <w:tcPr>
            <w:tcW w:w="1427" w:type="dxa"/>
          </w:tcPr>
          <w:p w14:paraId="47A54E42" w14:textId="77777777" w:rsidR="00CB3158" w:rsidRPr="00CA6930" w:rsidRDefault="00CB3158" w:rsidP="00CA6930">
            <w:pPr>
              <w:spacing w:line="276" w:lineRule="auto"/>
              <w:rPr>
                <w:rFonts w:ascii="Arial" w:hAnsi="Arial" w:cs="Arial"/>
                <w:sz w:val="22"/>
                <w:szCs w:val="22"/>
              </w:rPr>
            </w:pPr>
          </w:p>
        </w:tc>
        <w:tc>
          <w:tcPr>
            <w:tcW w:w="2658" w:type="dxa"/>
          </w:tcPr>
          <w:p w14:paraId="2BB821FB" w14:textId="77777777" w:rsidR="00CB3158" w:rsidRPr="00CA6930" w:rsidRDefault="00CB3158" w:rsidP="00CA6930">
            <w:pPr>
              <w:spacing w:line="276" w:lineRule="auto"/>
              <w:rPr>
                <w:rFonts w:ascii="Arial" w:hAnsi="Arial" w:cs="Arial"/>
                <w:sz w:val="22"/>
                <w:szCs w:val="22"/>
              </w:rPr>
            </w:pPr>
          </w:p>
        </w:tc>
      </w:tr>
      <w:tr w:rsidR="00CB3158" w:rsidRPr="00CA6930" w14:paraId="40E9DBDC" w14:textId="77777777" w:rsidTr="00CC6588">
        <w:tc>
          <w:tcPr>
            <w:tcW w:w="2656" w:type="dxa"/>
            <w:gridSpan w:val="2"/>
          </w:tcPr>
          <w:p w14:paraId="1B773F4E" w14:textId="1AD62447" w:rsidR="00CB3158" w:rsidRPr="00CA6930" w:rsidRDefault="00CB3158" w:rsidP="00CA6930">
            <w:pPr>
              <w:spacing w:line="276" w:lineRule="auto"/>
              <w:rPr>
                <w:rFonts w:ascii="Arial" w:hAnsi="Arial" w:cs="Arial"/>
                <w:sz w:val="22"/>
                <w:szCs w:val="22"/>
              </w:rPr>
            </w:pPr>
            <w:r w:rsidRPr="00CA6930">
              <w:rPr>
                <w:rFonts w:ascii="Arial" w:hAnsi="Arial" w:cs="Arial"/>
                <w:sz w:val="22"/>
                <w:szCs w:val="22"/>
              </w:rPr>
              <w:t>Signed:</w:t>
            </w:r>
          </w:p>
        </w:tc>
        <w:tc>
          <w:tcPr>
            <w:tcW w:w="11904" w:type="dxa"/>
            <w:gridSpan w:val="7"/>
          </w:tcPr>
          <w:p w14:paraId="6426D5ED" w14:textId="77777777" w:rsidR="00CB3158" w:rsidRPr="00CA6930" w:rsidRDefault="00CB3158" w:rsidP="00CA6930">
            <w:pPr>
              <w:spacing w:line="276" w:lineRule="auto"/>
              <w:rPr>
                <w:rFonts w:ascii="Arial" w:hAnsi="Arial" w:cs="Arial"/>
                <w:sz w:val="22"/>
                <w:szCs w:val="22"/>
              </w:rPr>
            </w:pPr>
          </w:p>
        </w:tc>
      </w:tr>
      <w:tr w:rsidR="00CB3158" w:rsidRPr="00CA6930" w14:paraId="5FFC4FC1" w14:textId="77777777" w:rsidTr="00CC6588">
        <w:tc>
          <w:tcPr>
            <w:tcW w:w="2656" w:type="dxa"/>
            <w:gridSpan w:val="2"/>
          </w:tcPr>
          <w:p w14:paraId="65D816C9" w14:textId="71F6E691" w:rsidR="00CB3158" w:rsidRPr="00CA6930" w:rsidRDefault="00CB3158" w:rsidP="00CA6930">
            <w:pPr>
              <w:spacing w:line="276" w:lineRule="auto"/>
              <w:rPr>
                <w:rFonts w:ascii="Arial" w:hAnsi="Arial" w:cs="Arial"/>
                <w:sz w:val="22"/>
                <w:szCs w:val="22"/>
              </w:rPr>
            </w:pPr>
            <w:r w:rsidRPr="00CA6930">
              <w:rPr>
                <w:rFonts w:ascii="Arial" w:hAnsi="Arial" w:cs="Arial"/>
                <w:sz w:val="22"/>
                <w:szCs w:val="22"/>
              </w:rPr>
              <w:t>Signed:</w:t>
            </w:r>
          </w:p>
        </w:tc>
        <w:tc>
          <w:tcPr>
            <w:tcW w:w="11904" w:type="dxa"/>
            <w:gridSpan w:val="7"/>
          </w:tcPr>
          <w:p w14:paraId="2B07A972" w14:textId="77777777" w:rsidR="00CB3158" w:rsidRPr="00CA6930" w:rsidRDefault="00CB3158" w:rsidP="00CA6930">
            <w:pPr>
              <w:spacing w:line="276" w:lineRule="auto"/>
              <w:rPr>
                <w:rFonts w:ascii="Arial" w:hAnsi="Arial" w:cs="Arial"/>
                <w:sz w:val="22"/>
                <w:szCs w:val="22"/>
              </w:rPr>
            </w:pPr>
          </w:p>
        </w:tc>
      </w:tr>
      <w:tr w:rsidR="00CB3158" w:rsidRPr="00CA6930" w14:paraId="5D7AD675" w14:textId="77777777" w:rsidTr="00CC6588">
        <w:tc>
          <w:tcPr>
            <w:tcW w:w="2656" w:type="dxa"/>
            <w:gridSpan w:val="2"/>
          </w:tcPr>
          <w:p w14:paraId="1C60ECE4" w14:textId="35C561D3" w:rsidR="00CB3158" w:rsidRPr="00CA6930" w:rsidRDefault="00CB3158" w:rsidP="00CA6930">
            <w:pPr>
              <w:spacing w:line="276" w:lineRule="auto"/>
              <w:rPr>
                <w:rFonts w:ascii="Arial" w:hAnsi="Arial" w:cs="Arial"/>
                <w:sz w:val="22"/>
                <w:szCs w:val="22"/>
              </w:rPr>
            </w:pPr>
            <w:r w:rsidRPr="00CA6930">
              <w:rPr>
                <w:rFonts w:ascii="Arial" w:hAnsi="Arial" w:cs="Arial"/>
                <w:sz w:val="22"/>
                <w:szCs w:val="22"/>
              </w:rPr>
              <w:t>Signed:</w:t>
            </w:r>
          </w:p>
        </w:tc>
        <w:tc>
          <w:tcPr>
            <w:tcW w:w="11904" w:type="dxa"/>
            <w:gridSpan w:val="7"/>
          </w:tcPr>
          <w:p w14:paraId="308445E9" w14:textId="206B3A3C" w:rsidR="00CB3158" w:rsidRPr="00CA6930" w:rsidRDefault="00CB3158" w:rsidP="00CA6930">
            <w:pPr>
              <w:spacing w:line="276" w:lineRule="auto"/>
              <w:rPr>
                <w:rFonts w:ascii="Arial" w:hAnsi="Arial" w:cs="Arial"/>
                <w:sz w:val="22"/>
                <w:szCs w:val="22"/>
              </w:rPr>
            </w:pPr>
          </w:p>
        </w:tc>
      </w:tr>
      <w:tr w:rsidR="00CB3158" w:rsidRPr="00CA6930" w14:paraId="553F52C8" w14:textId="77777777" w:rsidTr="00CC6588">
        <w:tc>
          <w:tcPr>
            <w:tcW w:w="2656" w:type="dxa"/>
            <w:gridSpan w:val="2"/>
          </w:tcPr>
          <w:p w14:paraId="37FA17D0" w14:textId="6D93A23B" w:rsidR="00CB3158" w:rsidRPr="00CA6930" w:rsidRDefault="00CB3158" w:rsidP="00CA6930">
            <w:pPr>
              <w:spacing w:line="276" w:lineRule="auto"/>
              <w:rPr>
                <w:rFonts w:ascii="Arial" w:hAnsi="Arial" w:cs="Arial"/>
                <w:sz w:val="22"/>
                <w:szCs w:val="22"/>
              </w:rPr>
            </w:pPr>
            <w:r w:rsidRPr="00CA6930">
              <w:rPr>
                <w:rFonts w:ascii="Arial" w:hAnsi="Arial" w:cs="Arial"/>
                <w:sz w:val="22"/>
                <w:szCs w:val="22"/>
              </w:rPr>
              <w:t xml:space="preserve">Date </w:t>
            </w:r>
          </w:p>
        </w:tc>
        <w:tc>
          <w:tcPr>
            <w:tcW w:w="11904" w:type="dxa"/>
            <w:gridSpan w:val="7"/>
          </w:tcPr>
          <w:p w14:paraId="56B0BC94" w14:textId="57A2BF49" w:rsidR="00CB3158" w:rsidRPr="00CA6930" w:rsidRDefault="00CB3158" w:rsidP="00CA6930">
            <w:pPr>
              <w:spacing w:line="276" w:lineRule="auto"/>
              <w:rPr>
                <w:rFonts w:ascii="Arial" w:hAnsi="Arial" w:cs="Arial"/>
                <w:sz w:val="22"/>
                <w:szCs w:val="22"/>
              </w:rPr>
            </w:pPr>
          </w:p>
        </w:tc>
      </w:tr>
    </w:tbl>
    <w:p w14:paraId="32F459D2" w14:textId="77777777" w:rsidR="00AF5330" w:rsidRPr="00CA6930" w:rsidRDefault="00AF5330" w:rsidP="00CA6930">
      <w:pPr>
        <w:spacing w:line="276" w:lineRule="auto"/>
        <w:rPr>
          <w:rFonts w:ascii="Arial" w:hAnsi="Arial" w:cs="Arial"/>
          <w:sz w:val="22"/>
          <w:szCs w:val="22"/>
        </w:rPr>
      </w:pPr>
    </w:p>
    <w:p w14:paraId="016A4918" w14:textId="77777777" w:rsidR="00B43FA4" w:rsidRPr="00CA6930" w:rsidRDefault="00B43FA4" w:rsidP="00CA6930">
      <w:pPr>
        <w:spacing w:line="276" w:lineRule="auto"/>
        <w:rPr>
          <w:rFonts w:ascii="Arial" w:hAnsi="Arial" w:cs="Arial"/>
          <w:sz w:val="22"/>
          <w:szCs w:val="22"/>
        </w:rPr>
      </w:pPr>
    </w:p>
    <w:p w14:paraId="6582DD2E" w14:textId="43483B09" w:rsidR="00B43FA4" w:rsidRPr="00CA6930" w:rsidRDefault="00B43FA4" w:rsidP="00CA6930">
      <w:pPr>
        <w:spacing w:line="276" w:lineRule="auto"/>
        <w:rPr>
          <w:rFonts w:ascii="Arial" w:hAnsi="Arial" w:cs="Arial"/>
          <w:sz w:val="22"/>
          <w:szCs w:val="22"/>
        </w:rPr>
      </w:pPr>
    </w:p>
    <w:p w14:paraId="686C2825" w14:textId="77777777" w:rsidR="00B43FA4" w:rsidRPr="00CA6930" w:rsidRDefault="00B43FA4" w:rsidP="00CA6930">
      <w:pPr>
        <w:spacing w:line="276" w:lineRule="auto"/>
        <w:rPr>
          <w:rFonts w:ascii="Arial" w:hAnsi="Arial" w:cs="Arial"/>
          <w:sz w:val="22"/>
          <w:szCs w:val="22"/>
        </w:rPr>
      </w:pPr>
    </w:p>
    <w:p w14:paraId="184CF11B" w14:textId="77777777" w:rsidR="00B43FA4" w:rsidRPr="00CA6930" w:rsidRDefault="00B43FA4" w:rsidP="00CA6930">
      <w:pPr>
        <w:spacing w:line="276" w:lineRule="auto"/>
        <w:rPr>
          <w:rFonts w:ascii="Arial" w:hAnsi="Arial" w:cs="Arial"/>
          <w:sz w:val="22"/>
          <w:szCs w:val="22"/>
        </w:rPr>
      </w:pPr>
      <w:r w:rsidRPr="00CA6930">
        <w:rPr>
          <w:rFonts w:ascii="Arial" w:hAnsi="Arial" w:cs="Arial"/>
          <w:sz w:val="22"/>
          <w:szCs w:val="22"/>
        </w:rPr>
        <w:br w:type="page"/>
      </w:r>
    </w:p>
    <w:p w14:paraId="00BD7BE9" w14:textId="77777777" w:rsidR="002D7A7C" w:rsidRPr="00CA6930" w:rsidRDefault="002D7A7C" w:rsidP="00CA6930">
      <w:pPr>
        <w:spacing w:line="276" w:lineRule="auto"/>
        <w:rPr>
          <w:rFonts w:ascii="Arial" w:hAnsi="Arial" w:cs="Arial"/>
          <w:sz w:val="22"/>
          <w:szCs w:val="22"/>
        </w:rPr>
        <w:sectPr w:rsidR="002D7A7C" w:rsidRPr="00CA6930" w:rsidSect="00655D24">
          <w:pgSz w:w="16838" w:h="11906" w:orient="landscape"/>
          <w:pgMar w:top="1440" w:right="992" w:bottom="1440" w:left="1276" w:header="142" w:footer="85" w:gutter="0"/>
          <w:cols w:space="708"/>
          <w:docGrid w:linePitch="360"/>
        </w:sectPr>
      </w:pPr>
    </w:p>
    <w:p w14:paraId="42E7B8C9" w14:textId="33B43B7A" w:rsidR="00841EDE" w:rsidRPr="00CA6930" w:rsidRDefault="00841EDE" w:rsidP="004744E8">
      <w:pPr>
        <w:spacing w:line="276" w:lineRule="auto"/>
        <w:rPr>
          <w:rFonts w:ascii="Arial" w:hAnsi="Arial" w:cs="Arial"/>
          <w:sz w:val="22"/>
          <w:szCs w:val="22"/>
        </w:rPr>
      </w:pPr>
    </w:p>
    <w:sectPr w:rsidR="00841EDE" w:rsidRPr="00CA6930" w:rsidSect="00B43FA4">
      <w:pgSz w:w="11906" w:h="16838"/>
      <w:pgMar w:top="993" w:right="1440" w:bottom="1276" w:left="1440" w:header="142"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9A072" w14:textId="77777777" w:rsidR="009F3A0B" w:rsidRDefault="009F3A0B" w:rsidP="00B43FA4">
      <w:r>
        <w:separator/>
      </w:r>
    </w:p>
  </w:endnote>
  <w:endnote w:type="continuationSeparator" w:id="0">
    <w:p w14:paraId="3DCD3807" w14:textId="77777777" w:rsidR="009F3A0B" w:rsidRDefault="009F3A0B" w:rsidP="00B43FA4">
      <w:r>
        <w:continuationSeparator/>
      </w:r>
    </w:p>
  </w:endnote>
  <w:endnote w:type="continuationNotice" w:id="1">
    <w:p w14:paraId="50F8996F" w14:textId="77777777" w:rsidR="009F3A0B" w:rsidRDefault="009F3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A021C" w14:textId="77777777" w:rsidR="009F3A0B" w:rsidRDefault="009F3A0B" w:rsidP="00B43FA4">
      <w:r>
        <w:separator/>
      </w:r>
    </w:p>
  </w:footnote>
  <w:footnote w:type="continuationSeparator" w:id="0">
    <w:p w14:paraId="0DFCFBC3" w14:textId="77777777" w:rsidR="009F3A0B" w:rsidRDefault="009F3A0B" w:rsidP="00B43FA4">
      <w:r>
        <w:continuationSeparator/>
      </w:r>
    </w:p>
  </w:footnote>
  <w:footnote w:type="continuationNotice" w:id="1">
    <w:p w14:paraId="38882162" w14:textId="77777777" w:rsidR="009F3A0B" w:rsidRDefault="009F3A0B"/>
  </w:footnote>
  <w:footnote w:id="2">
    <w:p w14:paraId="25F15FB5" w14:textId="7AE84317" w:rsidR="00F54B7F" w:rsidRPr="00061989" w:rsidRDefault="00F54B7F" w:rsidP="00061989">
      <w:pPr>
        <w:pStyle w:val="CommentText"/>
        <w:rPr>
          <w:rFonts w:ascii="Arial" w:hAnsi="Arial" w:cs="Arial"/>
          <w:sz w:val="24"/>
          <w:szCs w:val="24"/>
        </w:rPr>
      </w:pPr>
      <w:r>
        <w:rPr>
          <w:rStyle w:val="FootnoteReference"/>
        </w:rPr>
        <w:footnoteRef/>
      </w:r>
      <w:r>
        <w:t xml:space="preserve"> </w:t>
      </w:r>
      <w:r w:rsidRPr="00061989">
        <w:rPr>
          <w:rFonts w:ascii="Arial" w:eastAsiaTheme="minorHAnsi" w:hAnsi="Arial" w:cs="Arial"/>
          <w:color w:val="4C6380"/>
          <w:sz w:val="18"/>
          <w:szCs w:val="18"/>
          <w:lang w:eastAsia="en-US"/>
        </w:rPr>
        <w:t>Depending on the nature of the constraints and the efforts to address this in designing the proposed scheme, account may be taken of the impact of the constraint in calculating the proposal’s density and /or scheme layout.</w:t>
      </w:r>
    </w:p>
  </w:footnote>
  <w:footnote w:id="3">
    <w:p w14:paraId="380A90B3" w14:textId="04768DC4" w:rsidR="009946D9" w:rsidRPr="00061989" w:rsidRDefault="009946D9">
      <w:pPr>
        <w:pStyle w:val="FootnoteText"/>
        <w:rPr>
          <w:lang w:val="en-GB"/>
        </w:rPr>
      </w:pPr>
      <w:r>
        <w:rPr>
          <w:rStyle w:val="FootnoteReference"/>
        </w:rPr>
        <w:footnoteRef/>
      </w:r>
      <w:r>
        <w:t xml:space="preserve"> </w:t>
      </w:r>
      <w:r w:rsidRPr="003B7054">
        <w:rPr>
          <w:color w:val="4C6380"/>
          <w:sz w:val="18"/>
          <w:szCs w:val="18"/>
        </w:rPr>
        <w:t>The all-in cost of the development includes, land costs, construction costs, design fees and other costs such as development levies, utilities, financing costs, sales, marketing, profit etc.</w:t>
      </w:r>
    </w:p>
  </w:footnote>
  <w:footnote w:id="4">
    <w:p w14:paraId="1E2C2C4C" w14:textId="77777777" w:rsidR="006E14E1" w:rsidRPr="003B7054" w:rsidRDefault="00915F23" w:rsidP="003B7054">
      <w:pPr>
        <w:pStyle w:val="Default"/>
        <w:rPr>
          <w:color w:val="4C6380"/>
          <w:sz w:val="18"/>
          <w:szCs w:val="18"/>
        </w:rPr>
      </w:pPr>
      <w:r>
        <w:rPr>
          <w:rStyle w:val="FootnoteReference"/>
        </w:rPr>
        <w:footnoteRef/>
      </w:r>
      <w:r>
        <w:t xml:space="preserve"> </w:t>
      </w:r>
      <w:r w:rsidR="006E14E1" w:rsidRPr="003B7054">
        <w:rPr>
          <w:color w:val="4C6380"/>
          <w:sz w:val="18"/>
          <w:szCs w:val="18"/>
        </w:rPr>
        <w:t xml:space="preserve">The all-in cost of the development includes, land costs, construction costs, design fees and other costs such as development levies, utilities, financing costs, sales, marketing, profit etc. </w:t>
      </w:r>
    </w:p>
    <w:p w14:paraId="568BF1D3" w14:textId="726AB6FE" w:rsidR="00915F23" w:rsidRPr="000B21AC" w:rsidRDefault="006E14E1" w:rsidP="003B7054">
      <w:pPr>
        <w:pStyle w:val="Default"/>
        <w:rPr>
          <w:lang w:val="en-GB"/>
        </w:rPr>
      </w:pPr>
      <w:r w:rsidRPr="003B7054">
        <w:rPr>
          <w:color w:val="4C6380"/>
          <w:sz w:val="18"/>
          <w:szCs w:val="18"/>
        </w:rPr>
        <w:t>It is accepted that there could be a difference between all in costs at stage 1 and stage 2.</w:t>
      </w:r>
      <w:r>
        <w:rPr>
          <w:color w:val="4C6380"/>
        </w:rPr>
        <w:t xml:space="preserve"> </w:t>
      </w:r>
    </w:p>
  </w:footnote>
  <w:footnote w:id="5">
    <w:p w14:paraId="2982C6E0" w14:textId="7D93CF49" w:rsidR="00557E02" w:rsidRPr="003B7054" w:rsidRDefault="00217783" w:rsidP="00557E02">
      <w:pPr>
        <w:pStyle w:val="Default"/>
        <w:rPr>
          <w:color w:val="4C6380"/>
          <w:sz w:val="18"/>
          <w:szCs w:val="18"/>
        </w:rPr>
      </w:pPr>
      <w:r w:rsidRPr="00406C74">
        <w:rPr>
          <w:rStyle w:val="FootnoteReference"/>
          <w:sz w:val="20"/>
          <w:szCs w:val="20"/>
        </w:rPr>
        <w:footnoteRef/>
      </w:r>
      <w:r w:rsidRPr="00406C74">
        <w:rPr>
          <w:color w:val="4C6380"/>
          <w:sz w:val="18"/>
          <w:szCs w:val="18"/>
        </w:rPr>
        <w:t xml:space="preserve"> </w:t>
      </w:r>
      <w:r w:rsidR="00070E4D">
        <w:rPr>
          <w:color w:val="4C6380"/>
          <w:sz w:val="18"/>
          <w:szCs w:val="18"/>
        </w:rPr>
        <w:t>It is a requirement of AHF funding eligibility that a</w:t>
      </w:r>
      <w:r w:rsidRPr="00406C74">
        <w:rPr>
          <w:color w:val="4C6380"/>
          <w:sz w:val="18"/>
          <w:szCs w:val="18"/>
        </w:rPr>
        <w:t xml:space="preserve"> </w:t>
      </w:r>
      <w:r w:rsidR="009624F2" w:rsidRPr="00905185">
        <w:rPr>
          <w:color w:val="4C6380"/>
          <w:sz w:val="18"/>
          <w:szCs w:val="18"/>
        </w:rPr>
        <w:t>m</w:t>
      </w:r>
      <w:r w:rsidR="009624F2" w:rsidRPr="002F1ACB">
        <w:rPr>
          <w:color w:val="4C6380"/>
          <w:sz w:val="18"/>
          <w:szCs w:val="18"/>
        </w:rPr>
        <w:t xml:space="preserve">inimum 15% discount </w:t>
      </w:r>
      <w:r w:rsidR="009624F2">
        <w:rPr>
          <w:color w:val="4C6380"/>
          <w:sz w:val="18"/>
          <w:szCs w:val="18"/>
        </w:rPr>
        <w:t xml:space="preserve">is achieved </w:t>
      </w:r>
      <w:r w:rsidR="009624F2" w:rsidRPr="002F1ACB">
        <w:rPr>
          <w:color w:val="4C6380"/>
          <w:sz w:val="18"/>
          <w:szCs w:val="18"/>
        </w:rPr>
        <w:t>on open market values of comparable new build properties for affordable purchase</w:t>
      </w:r>
      <w:r w:rsidR="00557E02" w:rsidRPr="003B7054">
        <w:rPr>
          <w:color w:val="4C6380"/>
          <w:sz w:val="18"/>
          <w:szCs w:val="18"/>
        </w:rPr>
        <w:t xml:space="preserve"> proposals with the benefit of the applied AHF funding </w:t>
      </w:r>
      <w:r w:rsidR="00557E02" w:rsidRPr="003B7054">
        <w:rPr>
          <w:color w:val="4C6380"/>
          <w:sz w:val="18"/>
          <w:szCs w:val="18"/>
        </w:rPr>
        <w:t xml:space="preserve">taken into account. </w:t>
      </w:r>
    </w:p>
    <w:p w14:paraId="7D39B4A7" w14:textId="02FB2184" w:rsidR="00217783" w:rsidRPr="003B7054" w:rsidRDefault="00714182" w:rsidP="003B7054">
      <w:pPr>
        <w:pStyle w:val="Default"/>
        <w:rPr>
          <w:lang w:val="en-GB"/>
        </w:rPr>
      </w:pPr>
      <w:r>
        <w:rPr>
          <w:color w:val="4C6380"/>
          <w:sz w:val="18"/>
          <w:szCs w:val="18"/>
        </w:rPr>
        <w:t>It is a requirement of AHF funding eligibility that a m</w:t>
      </w:r>
      <w:r w:rsidR="00557E02" w:rsidRPr="003B7054">
        <w:rPr>
          <w:color w:val="4C6380"/>
          <w:sz w:val="18"/>
          <w:szCs w:val="18"/>
        </w:rPr>
        <w:t>inimum 25% discount on open market rents of comparable properties for Cost Rental proposals with the benefit of the applied AHF funding taken into account.</w:t>
      </w:r>
      <w:r w:rsidR="00557E02" w:rsidRPr="00557E0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301"/>
    <w:multiLevelType w:val="multilevel"/>
    <w:tmpl w:val="983E2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3A3BAA"/>
    <w:multiLevelType w:val="hybridMultilevel"/>
    <w:tmpl w:val="94B0A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95F56"/>
    <w:multiLevelType w:val="hybridMultilevel"/>
    <w:tmpl w:val="8812C4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9A3D78"/>
    <w:multiLevelType w:val="hybridMultilevel"/>
    <w:tmpl w:val="1DE8C874"/>
    <w:lvl w:ilvl="0" w:tplc="B43E5FA8">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951837"/>
    <w:multiLevelType w:val="multilevel"/>
    <w:tmpl w:val="6A664B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0DCB583D"/>
    <w:multiLevelType w:val="hybridMultilevel"/>
    <w:tmpl w:val="3ECEE11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AC0CA6"/>
    <w:multiLevelType w:val="multilevel"/>
    <w:tmpl w:val="B6CE83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24924B4"/>
    <w:multiLevelType w:val="hybridMultilevel"/>
    <w:tmpl w:val="82C65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A26F8A"/>
    <w:multiLevelType w:val="multilevel"/>
    <w:tmpl w:val="815AC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80542F"/>
    <w:multiLevelType w:val="hybridMultilevel"/>
    <w:tmpl w:val="A6664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7721CB"/>
    <w:multiLevelType w:val="hybridMultilevel"/>
    <w:tmpl w:val="340ABE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1821E65"/>
    <w:multiLevelType w:val="hybridMultilevel"/>
    <w:tmpl w:val="8ABE04D8"/>
    <w:lvl w:ilvl="0" w:tplc="1ABE46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942AE1"/>
    <w:multiLevelType w:val="hybridMultilevel"/>
    <w:tmpl w:val="7A44F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BD067D"/>
    <w:multiLevelType w:val="hybridMultilevel"/>
    <w:tmpl w:val="E78A19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29C52802"/>
    <w:multiLevelType w:val="hybridMultilevel"/>
    <w:tmpl w:val="262E2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DF7234"/>
    <w:multiLevelType w:val="hybridMultilevel"/>
    <w:tmpl w:val="207C84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A00B5C"/>
    <w:multiLevelType w:val="multilevel"/>
    <w:tmpl w:val="8F24F7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A29F848"/>
    <w:multiLevelType w:val="hybridMultilevel"/>
    <w:tmpl w:val="D99B56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6A107C"/>
    <w:multiLevelType w:val="hybridMultilevel"/>
    <w:tmpl w:val="54441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EB6E2A"/>
    <w:multiLevelType w:val="multilevel"/>
    <w:tmpl w:val="6D002F96"/>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CA291A"/>
    <w:multiLevelType w:val="hybridMultilevel"/>
    <w:tmpl w:val="FED02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5254D7"/>
    <w:multiLevelType w:val="hybridMultilevel"/>
    <w:tmpl w:val="1BECA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BD7E9C"/>
    <w:multiLevelType w:val="hybridMultilevel"/>
    <w:tmpl w:val="EDBE5696"/>
    <w:lvl w:ilvl="0" w:tplc="2CE0E9C0">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ED2FEC"/>
    <w:multiLevelType w:val="hybridMultilevel"/>
    <w:tmpl w:val="3B00C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363B15"/>
    <w:multiLevelType w:val="hybridMultilevel"/>
    <w:tmpl w:val="A3E40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8F5BDF"/>
    <w:multiLevelType w:val="hybridMultilevel"/>
    <w:tmpl w:val="96887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CA5023"/>
    <w:multiLevelType w:val="hybridMultilevel"/>
    <w:tmpl w:val="0BA8B1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8777154"/>
    <w:multiLevelType w:val="hybridMultilevel"/>
    <w:tmpl w:val="BFFEE71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CF4F85"/>
    <w:multiLevelType w:val="hybridMultilevel"/>
    <w:tmpl w:val="D91B4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9954F8"/>
    <w:multiLevelType w:val="hybridMultilevel"/>
    <w:tmpl w:val="D8302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976792"/>
    <w:multiLevelType w:val="hybridMultilevel"/>
    <w:tmpl w:val="748466D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8D4A27"/>
    <w:multiLevelType w:val="multilevel"/>
    <w:tmpl w:val="91CCC59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B46948"/>
    <w:multiLevelType w:val="hybridMultilevel"/>
    <w:tmpl w:val="7480D3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DC118ED"/>
    <w:multiLevelType w:val="hybridMultilevel"/>
    <w:tmpl w:val="13AAA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6"/>
  </w:num>
  <w:num w:numId="2">
    <w:abstractNumId w:val="5"/>
  </w:num>
  <w:num w:numId="3">
    <w:abstractNumId w:val="31"/>
  </w:num>
  <w:num w:numId="4">
    <w:abstractNumId w:val="12"/>
  </w:num>
  <w:num w:numId="5">
    <w:abstractNumId w:val="1"/>
  </w:num>
  <w:num w:numId="6">
    <w:abstractNumId w:val="3"/>
  </w:num>
  <w:num w:numId="7">
    <w:abstractNumId w:val="23"/>
  </w:num>
  <w:num w:numId="8">
    <w:abstractNumId w:val="28"/>
  </w:num>
  <w:num w:numId="9">
    <w:abstractNumId w:val="2"/>
  </w:num>
  <w:num w:numId="10">
    <w:abstractNumId w:val="14"/>
  </w:num>
  <w:num w:numId="11">
    <w:abstractNumId w:val="34"/>
  </w:num>
  <w:num w:numId="12">
    <w:abstractNumId w:val="32"/>
  </w:num>
  <w:num w:numId="13">
    <w:abstractNumId w:val="6"/>
  </w:num>
  <w:num w:numId="14">
    <w:abstractNumId w:val="9"/>
  </w:num>
  <w:num w:numId="15">
    <w:abstractNumId w:val="0"/>
  </w:num>
  <w:num w:numId="16">
    <w:abstractNumId w:val="8"/>
  </w:num>
  <w:num w:numId="17">
    <w:abstractNumId w:val="4"/>
  </w:num>
  <w:num w:numId="18">
    <w:abstractNumId w:val="11"/>
  </w:num>
  <w:num w:numId="19">
    <w:abstractNumId w:val="20"/>
  </w:num>
  <w:num w:numId="20">
    <w:abstractNumId w:val="17"/>
  </w:num>
  <w:num w:numId="21">
    <w:abstractNumId w:val="7"/>
  </w:num>
  <w:num w:numId="22">
    <w:abstractNumId w:val="13"/>
  </w:num>
  <w:num w:numId="23">
    <w:abstractNumId w:val="25"/>
  </w:num>
  <w:num w:numId="24">
    <w:abstractNumId w:val="22"/>
  </w:num>
  <w:num w:numId="25">
    <w:abstractNumId w:val="10"/>
  </w:num>
  <w:num w:numId="26">
    <w:abstractNumId w:val="26"/>
  </w:num>
  <w:num w:numId="27">
    <w:abstractNumId w:val="24"/>
  </w:num>
  <w:num w:numId="28">
    <w:abstractNumId w:val="30"/>
  </w:num>
  <w:num w:numId="29">
    <w:abstractNumId w:val="21"/>
  </w:num>
  <w:num w:numId="30">
    <w:abstractNumId w:val="29"/>
  </w:num>
  <w:num w:numId="31">
    <w:abstractNumId w:val="33"/>
  </w:num>
  <w:num w:numId="32">
    <w:abstractNumId w:val="18"/>
  </w:num>
  <w:num w:numId="33">
    <w:abstractNumId w:val="15"/>
  </w:num>
  <w:num w:numId="34">
    <w:abstractNumId w:val="19"/>
  </w:num>
  <w:num w:numId="35">
    <w:abstractNumId w:val="2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DU1tDQyNLS0sDBW0lEKTi0uzszPAykwNK0FAL64FsktAAAA"/>
  </w:docVars>
  <w:rsids>
    <w:rsidRoot w:val="00B43FA4"/>
    <w:rsid w:val="00001F43"/>
    <w:rsid w:val="00002016"/>
    <w:rsid w:val="000020AB"/>
    <w:rsid w:val="000061A3"/>
    <w:rsid w:val="00006CED"/>
    <w:rsid w:val="00010325"/>
    <w:rsid w:val="00012B6B"/>
    <w:rsid w:val="000141E5"/>
    <w:rsid w:val="0001450C"/>
    <w:rsid w:val="00014A17"/>
    <w:rsid w:val="00017760"/>
    <w:rsid w:val="00017AAA"/>
    <w:rsid w:val="00024314"/>
    <w:rsid w:val="00024761"/>
    <w:rsid w:val="00025602"/>
    <w:rsid w:val="0002707B"/>
    <w:rsid w:val="00032B54"/>
    <w:rsid w:val="000340E1"/>
    <w:rsid w:val="000402E9"/>
    <w:rsid w:val="00042015"/>
    <w:rsid w:val="0004527F"/>
    <w:rsid w:val="00045471"/>
    <w:rsid w:val="0006090F"/>
    <w:rsid w:val="00061087"/>
    <w:rsid w:val="00061989"/>
    <w:rsid w:val="00064EF3"/>
    <w:rsid w:val="00064F7B"/>
    <w:rsid w:val="00066F8B"/>
    <w:rsid w:val="00070E4D"/>
    <w:rsid w:val="00073F03"/>
    <w:rsid w:val="00074A4C"/>
    <w:rsid w:val="00074DD6"/>
    <w:rsid w:val="00076607"/>
    <w:rsid w:val="000812FE"/>
    <w:rsid w:val="00081B10"/>
    <w:rsid w:val="000847F7"/>
    <w:rsid w:val="000849CE"/>
    <w:rsid w:val="0008752A"/>
    <w:rsid w:val="0009252C"/>
    <w:rsid w:val="00095D11"/>
    <w:rsid w:val="000A0DC3"/>
    <w:rsid w:val="000A5658"/>
    <w:rsid w:val="000A5B02"/>
    <w:rsid w:val="000B07F3"/>
    <w:rsid w:val="000B21AC"/>
    <w:rsid w:val="000B3416"/>
    <w:rsid w:val="000C0558"/>
    <w:rsid w:val="000C5570"/>
    <w:rsid w:val="000C6E45"/>
    <w:rsid w:val="000C737E"/>
    <w:rsid w:val="000D086E"/>
    <w:rsid w:val="000D1EFD"/>
    <w:rsid w:val="000D469D"/>
    <w:rsid w:val="000D60C4"/>
    <w:rsid w:val="000D63D0"/>
    <w:rsid w:val="000E09E9"/>
    <w:rsid w:val="000E1461"/>
    <w:rsid w:val="000E24B4"/>
    <w:rsid w:val="000E3553"/>
    <w:rsid w:val="000E3B90"/>
    <w:rsid w:val="000E5742"/>
    <w:rsid w:val="000E5EA1"/>
    <w:rsid w:val="000F27C0"/>
    <w:rsid w:val="000F3E25"/>
    <w:rsid w:val="000F5F87"/>
    <w:rsid w:val="00101E05"/>
    <w:rsid w:val="00103BA7"/>
    <w:rsid w:val="00105BF6"/>
    <w:rsid w:val="00105E35"/>
    <w:rsid w:val="001062FE"/>
    <w:rsid w:val="00112D88"/>
    <w:rsid w:val="00113603"/>
    <w:rsid w:val="001136C9"/>
    <w:rsid w:val="00113988"/>
    <w:rsid w:val="00121E1E"/>
    <w:rsid w:val="0012289D"/>
    <w:rsid w:val="00127B99"/>
    <w:rsid w:val="00130A4B"/>
    <w:rsid w:val="001339F5"/>
    <w:rsid w:val="00135A38"/>
    <w:rsid w:val="00135C29"/>
    <w:rsid w:val="00135C9E"/>
    <w:rsid w:val="00136251"/>
    <w:rsid w:val="001362AE"/>
    <w:rsid w:val="00137E49"/>
    <w:rsid w:val="00141D15"/>
    <w:rsid w:val="00150EB7"/>
    <w:rsid w:val="00151FDA"/>
    <w:rsid w:val="00157858"/>
    <w:rsid w:val="00157F48"/>
    <w:rsid w:val="00164D7D"/>
    <w:rsid w:val="0016571B"/>
    <w:rsid w:val="001709D3"/>
    <w:rsid w:val="001728EA"/>
    <w:rsid w:val="00175E31"/>
    <w:rsid w:val="00176544"/>
    <w:rsid w:val="0017669C"/>
    <w:rsid w:val="00192B53"/>
    <w:rsid w:val="00196006"/>
    <w:rsid w:val="001A5CE3"/>
    <w:rsid w:val="001A6405"/>
    <w:rsid w:val="001A6A1A"/>
    <w:rsid w:val="001A7D3E"/>
    <w:rsid w:val="001B29D1"/>
    <w:rsid w:val="001B2A1E"/>
    <w:rsid w:val="001C043B"/>
    <w:rsid w:val="001C07C8"/>
    <w:rsid w:val="001C3B91"/>
    <w:rsid w:val="001D36A0"/>
    <w:rsid w:val="001D3DAE"/>
    <w:rsid w:val="001D5297"/>
    <w:rsid w:val="001D60B3"/>
    <w:rsid w:val="001D7BED"/>
    <w:rsid w:val="001E05F0"/>
    <w:rsid w:val="001E1EF4"/>
    <w:rsid w:val="001E6364"/>
    <w:rsid w:val="001E68C4"/>
    <w:rsid w:val="001F28E7"/>
    <w:rsid w:val="00200B83"/>
    <w:rsid w:val="00200C71"/>
    <w:rsid w:val="00200EA3"/>
    <w:rsid w:val="00204E89"/>
    <w:rsid w:val="0020625E"/>
    <w:rsid w:val="00210C90"/>
    <w:rsid w:val="00212B22"/>
    <w:rsid w:val="002136BD"/>
    <w:rsid w:val="00216B21"/>
    <w:rsid w:val="00216BFE"/>
    <w:rsid w:val="00216D23"/>
    <w:rsid w:val="00217783"/>
    <w:rsid w:val="00220EF3"/>
    <w:rsid w:val="002215C7"/>
    <w:rsid w:val="0022227A"/>
    <w:rsid w:val="002244E6"/>
    <w:rsid w:val="00227020"/>
    <w:rsid w:val="0022733C"/>
    <w:rsid w:val="002309FD"/>
    <w:rsid w:val="0023794D"/>
    <w:rsid w:val="00240179"/>
    <w:rsid w:val="0024567B"/>
    <w:rsid w:val="00245FC9"/>
    <w:rsid w:val="0025091B"/>
    <w:rsid w:val="00250F72"/>
    <w:rsid w:val="00251B6A"/>
    <w:rsid w:val="002527D8"/>
    <w:rsid w:val="00252A87"/>
    <w:rsid w:val="00252DEC"/>
    <w:rsid w:val="00253A81"/>
    <w:rsid w:val="00261E3F"/>
    <w:rsid w:val="00263861"/>
    <w:rsid w:val="00263DF9"/>
    <w:rsid w:val="00264F4B"/>
    <w:rsid w:val="002651B1"/>
    <w:rsid w:val="00272908"/>
    <w:rsid w:val="00273B03"/>
    <w:rsid w:val="0027401E"/>
    <w:rsid w:val="002748DF"/>
    <w:rsid w:val="00276B5A"/>
    <w:rsid w:val="00277F16"/>
    <w:rsid w:val="0028112A"/>
    <w:rsid w:val="002835B1"/>
    <w:rsid w:val="00283B5F"/>
    <w:rsid w:val="0028541E"/>
    <w:rsid w:val="0028560C"/>
    <w:rsid w:val="002875CF"/>
    <w:rsid w:val="00291C2C"/>
    <w:rsid w:val="002921F6"/>
    <w:rsid w:val="002962B9"/>
    <w:rsid w:val="00296383"/>
    <w:rsid w:val="002A2966"/>
    <w:rsid w:val="002A596B"/>
    <w:rsid w:val="002A5DCC"/>
    <w:rsid w:val="002B04E6"/>
    <w:rsid w:val="002B1384"/>
    <w:rsid w:val="002B190D"/>
    <w:rsid w:val="002B1E85"/>
    <w:rsid w:val="002B64B0"/>
    <w:rsid w:val="002B650D"/>
    <w:rsid w:val="002B6C0D"/>
    <w:rsid w:val="002C1900"/>
    <w:rsid w:val="002C1F67"/>
    <w:rsid w:val="002C2931"/>
    <w:rsid w:val="002C506A"/>
    <w:rsid w:val="002C523C"/>
    <w:rsid w:val="002D0C12"/>
    <w:rsid w:val="002D6F77"/>
    <w:rsid w:val="002D7A7C"/>
    <w:rsid w:val="002E03CD"/>
    <w:rsid w:val="002E12E4"/>
    <w:rsid w:val="002E259E"/>
    <w:rsid w:val="002E2F0D"/>
    <w:rsid w:val="002E37D7"/>
    <w:rsid w:val="002E3F84"/>
    <w:rsid w:val="002E660F"/>
    <w:rsid w:val="002F096B"/>
    <w:rsid w:val="002F1342"/>
    <w:rsid w:val="002F296D"/>
    <w:rsid w:val="002F329C"/>
    <w:rsid w:val="002F4E85"/>
    <w:rsid w:val="00300F4B"/>
    <w:rsid w:val="00301E66"/>
    <w:rsid w:val="00306C45"/>
    <w:rsid w:val="0030738E"/>
    <w:rsid w:val="00314B0C"/>
    <w:rsid w:val="00314FAD"/>
    <w:rsid w:val="0031620E"/>
    <w:rsid w:val="0031715B"/>
    <w:rsid w:val="00326CAC"/>
    <w:rsid w:val="00337DF3"/>
    <w:rsid w:val="00341FBD"/>
    <w:rsid w:val="00342687"/>
    <w:rsid w:val="00350F5A"/>
    <w:rsid w:val="00357AEA"/>
    <w:rsid w:val="00360D08"/>
    <w:rsid w:val="00364776"/>
    <w:rsid w:val="00364A41"/>
    <w:rsid w:val="00365643"/>
    <w:rsid w:val="00365B7F"/>
    <w:rsid w:val="0036626A"/>
    <w:rsid w:val="00367B7A"/>
    <w:rsid w:val="0037116E"/>
    <w:rsid w:val="0037388E"/>
    <w:rsid w:val="00375F8E"/>
    <w:rsid w:val="0037736F"/>
    <w:rsid w:val="003778A7"/>
    <w:rsid w:val="00384D38"/>
    <w:rsid w:val="00384E0F"/>
    <w:rsid w:val="00387C9E"/>
    <w:rsid w:val="0039204B"/>
    <w:rsid w:val="00392FC3"/>
    <w:rsid w:val="00396041"/>
    <w:rsid w:val="00397B80"/>
    <w:rsid w:val="003A3F98"/>
    <w:rsid w:val="003A4F1E"/>
    <w:rsid w:val="003A5B4B"/>
    <w:rsid w:val="003B002A"/>
    <w:rsid w:val="003B057A"/>
    <w:rsid w:val="003B337C"/>
    <w:rsid w:val="003B7054"/>
    <w:rsid w:val="003B7A07"/>
    <w:rsid w:val="003C109F"/>
    <w:rsid w:val="003C2095"/>
    <w:rsid w:val="003C3D7B"/>
    <w:rsid w:val="003C4627"/>
    <w:rsid w:val="003C5A30"/>
    <w:rsid w:val="003D193C"/>
    <w:rsid w:val="003D1C62"/>
    <w:rsid w:val="003D24B0"/>
    <w:rsid w:val="003D37AB"/>
    <w:rsid w:val="003E0CB6"/>
    <w:rsid w:val="003E39C1"/>
    <w:rsid w:val="003E4BA7"/>
    <w:rsid w:val="003E62C6"/>
    <w:rsid w:val="003E740E"/>
    <w:rsid w:val="003F0D70"/>
    <w:rsid w:val="003F24A2"/>
    <w:rsid w:val="003F3CCC"/>
    <w:rsid w:val="003F4534"/>
    <w:rsid w:val="003F744C"/>
    <w:rsid w:val="003F74DA"/>
    <w:rsid w:val="00400553"/>
    <w:rsid w:val="00404043"/>
    <w:rsid w:val="004061CE"/>
    <w:rsid w:val="00406C74"/>
    <w:rsid w:val="004102D1"/>
    <w:rsid w:val="00411A55"/>
    <w:rsid w:val="00412AB5"/>
    <w:rsid w:val="0041307F"/>
    <w:rsid w:val="00414CF5"/>
    <w:rsid w:val="00415163"/>
    <w:rsid w:val="00415A9D"/>
    <w:rsid w:val="0042042D"/>
    <w:rsid w:val="00422AA7"/>
    <w:rsid w:val="00431945"/>
    <w:rsid w:val="004334D0"/>
    <w:rsid w:val="00433933"/>
    <w:rsid w:val="00434737"/>
    <w:rsid w:val="00434915"/>
    <w:rsid w:val="00440048"/>
    <w:rsid w:val="00441047"/>
    <w:rsid w:val="00441DCA"/>
    <w:rsid w:val="0044201B"/>
    <w:rsid w:val="0044291F"/>
    <w:rsid w:val="00442BDC"/>
    <w:rsid w:val="00442E82"/>
    <w:rsid w:val="00443E12"/>
    <w:rsid w:val="00445D6B"/>
    <w:rsid w:val="00447AFA"/>
    <w:rsid w:val="00451CFB"/>
    <w:rsid w:val="0045224E"/>
    <w:rsid w:val="00460A21"/>
    <w:rsid w:val="00461060"/>
    <w:rsid w:val="00461F91"/>
    <w:rsid w:val="00462A56"/>
    <w:rsid w:val="00462C71"/>
    <w:rsid w:val="00465C2A"/>
    <w:rsid w:val="004679E7"/>
    <w:rsid w:val="004744E8"/>
    <w:rsid w:val="004751FF"/>
    <w:rsid w:val="004829E4"/>
    <w:rsid w:val="004839A6"/>
    <w:rsid w:val="00483EA8"/>
    <w:rsid w:val="004841B1"/>
    <w:rsid w:val="004841FF"/>
    <w:rsid w:val="00484631"/>
    <w:rsid w:val="0048498C"/>
    <w:rsid w:val="0048499D"/>
    <w:rsid w:val="004864F1"/>
    <w:rsid w:val="00486CD6"/>
    <w:rsid w:val="00487568"/>
    <w:rsid w:val="004877A5"/>
    <w:rsid w:val="00492A48"/>
    <w:rsid w:val="00496EDD"/>
    <w:rsid w:val="004A0E94"/>
    <w:rsid w:val="004A145A"/>
    <w:rsid w:val="004A245E"/>
    <w:rsid w:val="004A39A4"/>
    <w:rsid w:val="004A44D5"/>
    <w:rsid w:val="004B282F"/>
    <w:rsid w:val="004B34DD"/>
    <w:rsid w:val="004B44CD"/>
    <w:rsid w:val="004B4B44"/>
    <w:rsid w:val="004B6B1F"/>
    <w:rsid w:val="004C218D"/>
    <w:rsid w:val="004C3DD2"/>
    <w:rsid w:val="004C5E0F"/>
    <w:rsid w:val="004C6669"/>
    <w:rsid w:val="004D09B0"/>
    <w:rsid w:val="004D7D35"/>
    <w:rsid w:val="004E0864"/>
    <w:rsid w:val="004E4641"/>
    <w:rsid w:val="004E7C88"/>
    <w:rsid w:val="004F48A8"/>
    <w:rsid w:val="004F60C0"/>
    <w:rsid w:val="004F73F3"/>
    <w:rsid w:val="0050067A"/>
    <w:rsid w:val="0050165E"/>
    <w:rsid w:val="00502597"/>
    <w:rsid w:val="00503777"/>
    <w:rsid w:val="005041EE"/>
    <w:rsid w:val="00506C28"/>
    <w:rsid w:val="0050792B"/>
    <w:rsid w:val="00510593"/>
    <w:rsid w:val="005123C8"/>
    <w:rsid w:val="00512B91"/>
    <w:rsid w:val="00514A4D"/>
    <w:rsid w:val="00515740"/>
    <w:rsid w:val="00516107"/>
    <w:rsid w:val="00520116"/>
    <w:rsid w:val="0052215C"/>
    <w:rsid w:val="00522F48"/>
    <w:rsid w:val="00524F55"/>
    <w:rsid w:val="005262BA"/>
    <w:rsid w:val="00527E57"/>
    <w:rsid w:val="00530FEA"/>
    <w:rsid w:val="0053106E"/>
    <w:rsid w:val="005328FF"/>
    <w:rsid w:val="00534147"/>
    <w:rsid w:val="005344B6"/>
    <w:rsid w:val="00534792"/>
    <w:rsid w:val="00536C2A"/>
    <w:rsid w:val="005372EC"/>
    <w:rsid w:val="005405AE"/>
    <w:rsid w:val="00541623"/>
    <w:rsid w:val="00541B91"/>
    <w:rsid w:val="00547A59"/>
    <w:rsid w:val="005549C5"/>
    <w:rsid w:val="0055693B"/>
    <w:rsid w:val="00557E02"/>
    <w:rsid w:val="005615D7"/>
    <w:rsid w:val="00562F7C"/>
    <w:rsid w:val="00564458"/>
    <w:rsid w:val="0056471D"/>
    <w:rsid w:val="00564B75"/>
    <w:rsid w:val="0056605F"/>
    <w:rsid w:val="00566851"/>
    <w:rsid w:val="00567D99"/>
    <w:rsid w:val="005716AB"/>
    <w:rsid w:val="00572518"/>
    <w:rsid w:val="005750C0"/>
    <w:rsid w:val="0058058F"/>
    <w:rsid w:val="005807C6"/>
    <w:rsid w:val="00580BC8"/>
    <w:rsid w:val="00585C9C"/>
    <w:rsid w:val="005869A2"/>
    <w:rsid w:val="00591075"/>
    <w:rsid w:val="00591614"/>
    <w:rsid w:val="00592298"/>
    <w:rsid w:val="0059757E"/>
    <w:rsid w:val="005A3299"/>
    <w:rsid w:val="005A3AA4"/>
    <w:rsid w:val="005B6D63"/>
    <w:rsid w:val="005B7524"/>
    <w:rsid w:val="005B7F90"/>
    <w:rsid w:val="005C1329"/>
    <w:rsid w:val="005C479E"/>
    <w:rsid w:val="005C6588"/>
    <w:rsid w:val="005D0C97"/>
    <w:rsid w:val="005E1BC5"/>
    <w:rsid w:val="005E25E2"/>
    <w:rsid w:val="005E272E"/>
    <w:rsid w:val="005E2A30"/>
    <w:rsid w:val="005E30DC"/>
    <w:rsid w:val="005E430E"/>
    <w:rsid w:val="005E5745"/>
    <w:rsid w:val="006028E6"/>
    <w:rsid w:val="00602C2E"/>
    <w:rsid w:val="00603208"/>
    <w:rsid w:val="00604499"/>
    <w:rsid w:val="00604ADC"/>
    <w:rsid w:val="0060556E"/>
    <w:rsid w:val="006057D5"/>
    <w:rsid w:val="006068C6"/>
    <w:rsid w:val="00607E7F"/>
    <w:rsid w:val="00612023"/>
    <w:rsid w:val="00612D7C"/>
    <w:rsid w:val="006152EB"/>
    <w:rsid w:val="00615817"/>
    <w:rsid w:val="00615B28"/>
    <w:rsid w:val="006170B4"/>
    <w:rsid w:val="006209CC"/>
    <w:rsid w:val="0062518C"/>
    <w:rsid w:val="006271D1"/>
    <w:rsid w:val="00627E4F"/>
    <w:rsid w:val="006315B1"/>
    <w:rsid w:val="00631EA8"/>
    <w:rsid w:val="0063268E"/>
    <w:rsid w:val="00632B8E"/>
    <w:rsid w:val="00640633"/>
    <w:rsid w:val="00641F62"/>
    <w:rsid w:val="006422B1"/>
    <w:rsid w:val="00644ACE"/>
    <w:rsid w:val="006463A3"/>
    <w:rsid w:val="0064664D"/>
    <w:rsid w:val="006513B5"/>
    <w:rsid w:val="00655D24"/>
    <w:rsid w:val="0065653C"/>
    <w:rsid w:val="006600F0"/>
    <w:rsid w:val="00660DEE"/>
    <w:rsid w:val="006614D8"/>
    <w:rsid w:val="00661FA4"/>
    <w:rsid w:val="006627B4"/>
    <w:rsid w:val="00663D06"/>
    <w:rsid w:val="0066538A"/>
    <w:rsid w:val="00665F1E"/>
    <w:rsid w:val="00667303"/>
    <w:rsid w:val="006723BB"/>
    <w:rsid w:val="006860B3"/>
    <w:rsid w:val="006919B2"/>
    <w:rsid w:val="006934A1"/>
    <w:rsid w:val="00694B13"/>
    <w:rsid w:val="006954DD"/>
    <w:rsid w:val="00695756"/>
    <w:rsid w:val="006A2D01"/>
    <w:rsid w:val="006A4BF5"/>
    <w:rsid w:val="006A4F88"/>
    <w:rsid w:val="006B0175"/>
    <w:rsid w:val="006B41C4"/>
    <w:rsid w:val="006B5225"/>
    <w:rsid w:val="006B529A"/>
    <w:rsid w:val="006B7EB0"/>
    <w:rsid w:val="006C0826"/>
    <w:rsid w:val="006C403F"/>
    <w:rsid w:val="006C7D8E"/>
    <w:rsid w:val="006D5D00"/>
    <w:rsid w:val="006D67E2"/>
    <w:rsid w:val="006D74D7"/>
    <w:rsid w:val="006D76AC"/>
    <w:rsid w:val="006D7ADF"/>
    <w:rsid w:val="006E14E1"/>
    <w:rsid w:val="006E17E4"/>
    <w:rsid w:val="006E1864"/>
    <w:rsid w:val="006E1B1F"/>
    <w:rsid w:val="006E3C91"/>
    <w:rsid w:val="006E44F6"/>
    <w:rsid w:val="006E4815"/>
    <w:rsid w:val="006E6F58"/>
    <w:rsid w:val="006F0F4E"/>
    <w:rsid w:val="006F294A"/>
    <w:rsid w:val="006F2B91"/>
    <w:rsid w:val="006F345F"/>
    <w:rsid w:val="006F693A"/>
    <w:rsid w:val="006F77A0"/>
    <w:rsid w:val="007017C1"/>
    <w:rsid w:val="00703B7B"/>
    <w:rsid w:val="00707AF0"/>
    <w:rsid w:val="00714182"/>
    <w:rsid w:val="007167E5"/>
    <w:rsid w:val="007172AF"/>
    <w:rsid w:val="00720B1C"/>
    <w:rsid w:val="00722E24"/>
    <w:rsid w:val="0072341B"/>
    <w:rsid w:val="00724AC0"/>
    <w:rsid w:val="007250C3"/>
    <w:rsid w:val="00726375"/>
    <w:rsid w:val="00726EDE"/>
    <w:rsid w:val="00731A60"/>
    <w:rsid w:val="007320FF"/>
    <w:rsid w:val="00734375"/>
    <w:rsid w:val="00736E18"/>
    <w:rsid w:val="0073712B"/>
    <w:rsid w:val="00740EA8"/>
    <w:rsid w:val="00742AC8"/>
    <w:rsid w:val="00745885"/>
    <w:rsid w:val="007468FB"/>
    <w:rsid w:val="00750E7B"/>
    <w:rsid w:val="00753004"/>
    <w:rsid w:val="00755A03"/>
    <w:rsid w:val="00756D1E"/>
    <w:rsid w:val="007577AB"/>
    <w:rsid w:val="007579F2"/>
    <w:rsid w:val="00760CD6"/>
    <w:rsid w:val="007713A2"/>
    <w:rsid w:val="007716B8"/>
    <w:rsid w:val="0077174A"/>
    <w:rsid w:val="007734D2"/>
    <w:rsid w:val="00773994"/>
    <w:rsid w:val="00783D7C"/>
    <w:rsid w:val="00783DBB"/>
    <w:rsid w:val="007872F0"/>
    <w:rsid w:val="00787DBE"/>
    <w:rsid w:val="00794B20"/>
    <w:rsid w:val="007A1E2C"/>
    <w:rsid w:val="007A2F06"/>
    <w:rsid w:val="007A307F"/>
    <w:rsid w:val="007A4F5E"/>
    <w:rsid w:val="007A6054"/>
    <w:rsid w:val="007A7024"/>
    <w:rsid w:val="007B1BA4"/>
    <w:rsid w:val="007B5BE0"/>
    <w:rsid w:val="007C00FE"/>
    <w:rsid w:val="007C165E"/>
    <w:rsid w:val="007C16CF"/>
    <w:rsid w:val="007D127F"/>
    <w:rsid w:val="007D2791"/>
    <w:rsid w:val="007D7CB1"/>
    <w:rsid w:val="007E058E"/>
    <w:rsid w:val="007E1226"/>
    <w:rsid w:val="007E6CE9"/>
    <w:rsid w:val="007F00A0"/>
    <w:rsid w:val="007F02F0"/>
    <w:rsid w:val="007F3823"/>
    <w:rsid w:val="007F4A6C"/>
    <w:rsid w:val="0080159C"/>
    <w:rsid w:val="00803E7E"/>
    <w:rsid w:val="00804B3E"/>
    <w:rsid w:val="00805A0B"/>
    <w:rsid w:val="00805A2A"/>
    <w:rsid w:val="008079DF"/>
    <w:rsid w:val="00827D9D"/>
    <w:rsid w:val="00830275"/>
    <w:rsid w:val="00830629"/>
    <w:rsid w:val="008310F6"/>
    <w:rsid w:val="00831DCA"/>
    <w:rsid w:val="00831F62"/>
    <w:rsid w:val="00833872"/>
    <w:rsid w:val="00833C9B"/>
    <w:rsid w:val="00833E85"/>
    <w:rsid w:val="00834780"/>
    <w:rsid w:val="008351BC"/>
    <w:rsid w:val="0083643A"/>
    <w:rsid w:val="008402A4"/>
    <w:rsid w:val="00841EDE"/>
    <w:rsid w:val="00845068"/>
    <w:rsid w:val="00846186"/>
    <w:rsid w:val="00847CE6"/>
    <w:rsid w:val="00851189"/>
    <w:rsid w:val="00852764"/>
    <w:rsid w:val="00854104"/>
    <w:rsid w:val="00854B9E"/>
    <w:rsid w:val="008562EB"/>
    <w:rsid w:val="00856712"/>
    <w:rsid w:val="00857296"/>
    <w:rsid w:val="00857E0D"/>
    <w:rsid w:val="0086229E"/>
    <w:rsid w:val="00863053"/>
    <w:rsid w:val="008646A4"/>
    <w:rsid w:val="00866FF6"/>
    <w:rsid w:val="008703D0"/>
    <w:rsid w:val="00872E17"/>
    <w:rsid w:val="00874046"/>
    <w:rsid w:val="00874F1E"/>
    <w:rsid w:val="00880A5D"/>
    <w:rsid w:val="0088363D"/>
    <w:rsid w:val="00885C68"/>
    <w:rsid w:val="0088667E"/>
    <w:rsid w:val="00890E00"/>
    <w:rsid w:val="00895AB5"/>
    <w:rsid w:val="00896A3D"/>
    <w:rsid w:val="008A0A00"/>
    <w:rsid w:val="008A0FCC"/>
    <w:rsid w:val="008A1AA5"/>
    <w:rsid w:val="008A209E"/>
    <w:rsid w:val="008A3196"/>
    <w:rsid w:val="008A4481"/>
    <w:rsid w:val="008A57D4"/>
    <w:rsid w:val="008A64F8"/>
    <w:rsid w:val="008A6A70"/>
    <w:rsid w:val="008B1707"/>
    <w:rsid w:val="008B3F59"/>
    <w:rsid w:val="008B77DA"/>
    <w:rsid w:val="008C21BA"/>
    <w:rsid w:val="008C3444"/>
    <w:rsid w:val="008C43B9"/>
    <w:rsid w:val="008C48BB"/>
    <w:rsid w:val="008C4FFE"/>
    <w:rsid w:val="008C5587"/>
    <w:rsid w:val="008C7695"/>
    <w:rsid w:val="008C7968"/>
    <w:rsid w:val="008D2367"/>
    <w:rsid w:val="008D2B4F"/>
    <w:rsid w:val="008D668E"/>
    <w:rsid w:val="008D696D"/>
    <w:rsid w:val="008D69C5"/>
    <w:rsid w:val="008D7B0D"/>
    <w:rsid w:val="008E1A40"/>
    <w:rsid w:val="008E2B01"/>
    <w:rsid w:val="008E673C"/>
    <w:rsid w:val="008E7BF4"/>
    <w:rsid w:val="008F1D5F"/>
    <w:rsid w:val="008F5918"/>
    <w:rsid w:val="00901AF6"/>
    <w:rsid w:val="00902E6A"/>
    <w:rsid w:val="00903699"/>
    <w:rsid w:val="00903C66"/>
    <w:rsid w:val="00905067"/>
    <w:rsid w:val="00913FD5"/>
    <w:rsid w:val="00915F23"/>
    <w:rsid w:val="00917A89"/>
    <w:rsid w:val="0092071C"/>
    <w:rsid w:val="00921363"/>
    <w:rsid w:val="00922439"/>
    <w:rsid w:val="00923644"/>
    <w:rsid w:val="00924C15"/>
    <w:rsid w:val="00927A2E"/>
    <w:rsid w:val="009329B0"/>
    <w:rsid w:val="00932DFE"/>
    <w:rsid w:val="0093379B"/>
    <w:rsid w:val="0093461B"/>
    <w:rsid w:val="00934839"/>
    <w:rsid w:val="0093722F"/>
    <w:rsid w:val="0094424F"/>
    <w:rsid w:val="009444E4"/>
    <w:rsid w:val="0095166F"/>
    <w:rsid w:val="00955209"/>
    <w:rsid w:val="0095571F"/>
    <w:rsid w:val="009560D2"/>
    <w:rsid w:val="009605FD"/>
    <w:rsid w:val="00960D99"/>
    <w:rsid w:val="009615D6"/>
    <w:rsid w:val="009624F2"/>
    <w:rsid w:val="00963AE1"/>
    <w:rsid w:val="00967D50"/>
    <w:rsid w:val="009744A3"/>
    <w:rsid w:val="0097596F"/>
    <w:rsid w:val="00981F84"/>
    <w:rsid w:val="0098367D"/>
    <w:rsid w:val="009841E8"/>
    <w:rsid w:val="00985259"/>
    <w:rsid w:val="00987FF6"/>
    <w:rsid w:val="0099024A"/>
    <w:rsid w:val="00993F57"/>
    <w:rsid w:val="009946D9"/>
    <w:rsid w:val="00995463"/>
    <w:rsid w:val="009970CC"/>
    <w:rsid w:val="00997703"/>
    <w:rsid w:val="009A4A9E"/>
    <w:rsid w:val="009A5893"/>
    <w:rsid w:val="009A7FF2"/>
    <w:rsid w:val="009B6C69"/>
    <w:rsid w:val="009B7D02"/>
    <w:rsid w:val="009C163A"/>
    <w:rsid w:val="009C1CEC"/>
    <w:rsid w:val="009C3401"/>
    <w:rsid w:val="009C4649"/>
    <w:rsid w:val="009C4684"/>
    <w:rsid w:val="009C7B58"/>
    <w:rsid w:val="009E651B"/>
    <w:rsid w:val="009E75B4"/>
    <w:rsid w:val="009F3A0B"/>
    <w:rsid w:val="009F5B19"/>
    <w:rsid w:val="00A0094C"/>
    <w:rsid w:val="00A015BE"/>
    <w:rsid w:val="00A035A5"/>
    <w:rsid w:val="00A03FA6"/>
    <w:rsid w:val="00A04BC5"/>
    <w:rsid w:val="00A05220"/>
    <w:rsid w:val="00A05D63"/>
    <w:rsid w:val="00A2092F"/>
    <w:rsid w:val="00A209AC"/>
    <w:rsid w:val="00A22A64"/>
    <w:rsid w:val="00A22AEB"/>
    <w:rsid w:val="00A24976"/>
    <w:rsid w:val="00A25CBD"/>
    <w:rsid w:val="00A261C0"/>
    <w:rsid w:val="00A27330"/>
    <w:rsid w:val="00A328AD"/>
    <w:rsid w:val="00A34EC0"/>
    <w:rsid w:val="00A378DB"/>
    <w:rsid w:val="00A45B33"/>
    <w:rsid w:val="00A45C29"/>
    <w:rsid w:val="00A46138"/>
    <w:rsid w:val="00A47DCE"/>
    <w:rsid w:val="00A52623"/>
    <w:rsid w:val="00A54319"/>
    <w:rsid w:val="00A5579A"/>
    <w:rsid w:val="00A55C22"/>
    <w:rsid w:val="00A55E3D"/>
    <w:rsid w:val="00A617E4"/>
    <w:rsid w:val="00A63439"/>
    <w:rsid w:val="00A64169"/>
    <w:rsid w:val="00A6643D"/>
    <w:rsid w:val="00A70829"/>
    <w:rsid w:val="00A71AEC"/>
    <w:rsid w:val="00A752FE"/>
    <w:rsid w:val="00A76C24"/>
    <w:rsid w:val="00A83E57"/>
    <w:rsid w:val="00A85EED"/>
    <w:rsid w:val="00A86C13"/>
    <w:rsid w:val="00A92538"/>
    <w:rsid w:val="00A947D2"/>
    <w:rsid w:val="00A96397"/>
    <w:rsid w:val="00A9783C"/>
    <w:rsid w:val="00AA1310"/>
    <w:rsid w:val="00AA445D"/>
    <w:rsid w:val="00AA62F9"/>
    <w:rsid w:val="00AA6CF4"/>
    <w:rsid w:val="00AA7F72"/>
    <w:rsid w:val="00AB10B7"/>
    <w:rsid w:val="00AB4A8E"/>
    <w:rsid w:val="00AB5AB8"/>
    <w:rsid w:val="00AB6A7D"/>
    <w:rsid w:val="00AC11DE"/>
    <w:rsid w:val="00AC269F"/>
    <w:rsid w:val="00AC2965"/>
    <w:rsid w:val="00AC55BB"/>
    <w:rsid w:val="00AC5E6C"/>
    <w:rsid w:val="00AD001D"/>
    <w:rsid w:val="00AD1580"/>
    <w:rsid w:val="00AD1C75"/>
    <w:rsid w:val="00AD692F"/>
    <w:rsid w:val="00AD6ED0"/>
    <w:rsid w:val="00AD71B2"/>
    <w:rsid w:val="00AE42F6"/>
    <w:rsid w:val="00AE66CC"/>
    <w:rsid w:val="00AF0DA6"/>
    <w:rsid w:val="00AF233E"/>
    <w:rsid w:val="00AF28F2"/>
    <w:rsid w:val="00AF461C"/>
    <w:rsid w:val="00AF5330"/>
    <w:rsid w:val="00AF6F60"/>
    <w:rsid w:val="00B01372"/>
    <w:rsid w:val="00B02589"/>
    <w:rsid w:val="00B03233"/>
    <w:rsid w:val="00B03A5B"/>
    <w:rsid w:val="00B050E6"/>
    <w:rsid w:val="00B05304"/>
    <w:rsid w:val="00B13803"/>
    <w:rsid w:val="00B13CE0"/>
    <w:rsid w:val="00B20EDA"/>
    <w:rsid w:val="00B21121"/>
    <w:rsid w:val="00B30959"/>
    <w:rsid w:val="00B30BAB"/>
    <w:rsid w:val="00B315CB"/>
    <w:rsid w:val="00B31E20"/>
    <w:rsid w:val="00B35D24"/>
    <w:rsid w:val="00B36AC5"/>
    <w:rsid w:val="00B3731A"/>
    <w:rsid w:val="00B42DED"/>
    <w:rsid w:val="00B42E79"/>
    <w:rsid w:val="00B43FA4"/>
    <w:rsid w:val="00B459DF"/>
    <w:rsid w:val="00B46B96"/>
    <w:rsid w:val="00B47489"/>
    <w:rsid w:val="00B51A6F"/>
    <w:rsid w:val="00B53750"/>
    <w:rsid w:val="00B55BE7"/>
    <w:rsid w:val="00B57540"/>
    <w:rsid w:val="00B65035"/>
    <w:rsid w:val="00B658EE"/>
    <w:rsid w:val="00B65904"/>
    <w:rsid w:val="00B6665C"/>
    <w:rsid w:val="00B7117F"/>
    <w:rsid w:val="00B72153"/>
    <w:rsid w:val="00B72651"/>
    <w:rsid w:val="00B7651D"/>
    <w:rsid w:val="00B77667"/>
    <w:rsid w:val="00B81ED1"/>
    <w:rsid w:val="00B82080"/>
    <w:rsid w:val="00B84FF4"/>
    <w:rsid w:val="00B861EC"/>
    <w:rsid w:val="00B90008"/>
    <w:rsid w:val="00B9426A"/>
    <w:rsid w:val="00B94B8B"/>
    <w:rsid w:val="00B95C26"/>
    <w:rsid w:val="00BA2100"/>
    <w:rsid w:val="00BA3DEB"/>
    <w:rsid w:val="00BA559F"/>
    <w:rsid w:val="00BA6532"/>
    <w:rsid w:val="00BB03DC"/>
    <w:rsid w:val="00BB2726"/>
    <w:rsid w:val="00BB3315"/>
    <w:rsid w:val="00BB4D84"/>
    <w:rsid w:val="00BB74FC"/>
    <w:rsid w:val="00BC1100"/>
    <w:rsid w:val="00BC3CE0"/>
    <w:rsid w:val="00BD0C18"/>
    <w:rsid w:val="00BD1BA6"/>
    <w:rsid w:val="00BD2383"/>
    <w:rsid w:val="00BD568F"/>
    <w:rsid w:val="00BD725A"/>
    <w:rsid w:val="00BE0706"/>
    <w:rsid w:val="00BE1F0A"/>
    <w:rsid w:val="00BE2205"/>
    <w:rsid w:val="00BE67C2"/>
    <w:rsid w:val="00BE719F"/>
    <w:rsid w:val="00BE7BD1"/>
    <w:rsid w:val="00BE7BEB"/>
    <w:rsid w:val="00BF086C"/>
    <w:rsid w:val="00BF1175"/>
    <w:rsid w:val="00BF52FF"/>
    <w:rsid w:val="00BF5421"/>
    <w:rsid w:val="00BF547B"/>
    <w:rsid w:val="00C01FB6"/>
    <w:rsid w:val="00C04985"/>
    <w:rsid w:val="00C0511E"/>
    <w:rsid w:val="00C077CF"/>
    <w:rsid w:val="00C10F8B"/>
    <w:rsid w:val="00C118DE"/>
    <w:rsid w:val="00C11A3A"/>
    <w:rsid w:val="00C11EE5"/>
    <w:rsid w:val="00C12DEA"/>
    <w:rsid w:val="00C16B1F"/>
    <w:rsid w:val="00C1745C"/>
    <w:rsid w:val="00C175EC"/>
    <w:rsid w:val="00C20CDE"/>
    <w:rsid w:val="00C21678"/>
    <w:rsid w:val="00C25FA3"/>
    <w:rsid w:val="00C40540"/>
    <w:rsid w:val="00C423EE"/>
    <w:rsid w:val="00C47665"/>
    <w:rsid w:val="00C551AC"/>
    <w:rsid w:val="00C554CF"/>
    <w:rsid w:val="00C55607"/>
    <w:rsid w:val="00C60601"/>
    <w:rsid w:val="00C61E87"/>
    <w:rsid w:val="00C63FDC"/>
    <w:rsid w:val="00C667B4"/>
    <w:rsid w:val="00C712F2"/>
    <w:rsid w:val="00C71AA0"/>
    <w:rsid w:val="00C72DFC"/>
    <w:rsid w:val="00C751EC"/>
    <w:rsid w:val="00C80A45"/>
    <w:rsid w:val="00C8166F"/>
    <w:rsid w:val="00C81785"/>
    <w:rsid w:val="00C82CD2"/>
    <w:rsid w:val="00C859D4"/>
    <w:rsid w:val="00C873C2"/>
    <w:rsid w:val="00C87CC5"/>
    <w:rsid w:val="00C87D42"/>
    <w:rsid w:val="00C90686"/>
    <w:rsid w:val="00C92FDA"/>
    <w:rsid w:val="00C955F6"/>
    <w:rsid w:val="00CA02B3"/>
    <w:rsid w:val="00CA223A"/>
    <w:rsid w:val="00CA3177"/>
    <w:rsid w:val="00CA556A"/>
    <w:rsid w:val="00CA6930"/>
    <w:rsid w:val="00CB1D01"/>
    <w:rsid w:val="00CB2E4D"/>
    <w:rsid w:val="00CB3158"/>
    <w:rsid w:val="00CB3C94"/>
    <w:rsid w:val="00CB78B4"/>
    <w:rsid w:val="00CB7C3B"/>
    <w:rsid w:val="00CC1B79"/>
    <w:rsid w:val="00CC4DAA"/>
    <w:rsid w:val="00CC6588"/>
    <w:rsid w:val="00CC6FB0"/>
    <w:rsid w:val="00CD01E3"/>
    <w:rsid w:val="00CD069C"/>
    <w:rsid w:val="00CD0897"/>
    <w:rsid w:val="00CD2F41"/>
    <w:rsid w:val="00CD4E43"/>
    <w:rsid w:val="00CD5C85"/>
    <w:rsid w:val="00CD654C"/>
    <w:rsid w:val="00CD75CA"/>
    <w:rsid w:val="00CE0CBA"/>
    <w:rsid w:val="00CE1BF9"/>
    <w:rsid w:val="00CE3C11"/>
    <w:rsid w:val="00CE4502"/>
    <w:rsid w:val="00CE534A"/>
    <w:rsid w:val="00CE64F4"/>
    <w:rsid w:val="00CF0B3A"/>
    <w:rsid w:val="00CF2367"/>
    <w:rsid w:val="00CF3A19"/>
    <w:rsid w:val="00CF3F0D"/>
    <w:rsid w:val="00CF48BD"/>
    <w:rsid w:val="00CF5A7A"/>
    <w:rsid w:val="00CF6F38"/>
    <w:rsid w:val="00CF7B10"/>
    <w:rsid w:val="00D02D60"/>
    <w:rsid w:val="00D035CB"/>
    <w:rsid w:val="00D13230"/>
    <w:rsid w:val="00D13EFA"/>
    <w:rsid w:val="00D22185"/>
    <w:rsid w:val="00D22DCE"/>
    <w:rsid w:val="00D233D8"/>
    <w:rsid w:val="00D307CE"/>
    <w:rsid w:val="00D3180A"/>
    <w:rsid w:val="00D35958"/>
    <w:rsid w:val="00D36BB4"/>
    <w:rsid w:val="00D37918"/>
    <w:rsid w:val="00D40932"/>
    <w:rsid w:val="00D457A8"/>
    <w:rsid w:val="00D45841"/>
    <w:rsid w:val="00D45E94"/>
    <w:rsid w:val="00D46426"/>
    <w:rsid w:val="00D55362"/>
    <w:rsid w:val="00D608C1"/>
    <w:rsid w:val="00D61971"/>
    <w:rsid w:val="00D62BAB"/>
    <w:rsid w:val="00D62DE4"/>
    <w:rsid w:val="00D6376E"/>
    <w:rsid w:val="00D65DDF"/>
    <w:rsid w:val="00D665F5"/>
    <w:rsid w:val="00D66F6A"/>
    <w:rsid w:val="00D67C94"/>
    <w:rsid w:val="00D71017"/>
    <w:rsid w:val="00D71E83"/>
    <w:rsid w:val="00D7322D"/>
    <w:rsid w:val="00D7322E"/>
    <w:rsid w:val="00D74F7F"/>
    <w:rsid w:val="00D75BB1"/>
    <w:rsid w:val="00D76787"/>
    <w:rsid w:val="00D76EDA"/>
    <w:rsid w:val="00D77F5E"/>
    <w:rsid w:val="00D81977"/>
    <w:rsid w:val="00D82C11"/>
    <w:rsid w:val="00D83AA5"/>
    <w:rsid w:val="00D8724B"/>
    <w:rsid w:val="00D87DBE"/>
    <w:rsid w:val="00D91184"/>
    <w:rsid w:val="00D94832"/>
    <w:rsid w:val="00D948F9"/>
    <w:rsid w:val="00D94E80"/>
    <w:rsid w:val="00D97B08"/>
    <w:rsid w:val="00DA0157"/>
    <w:rsid w:val="00DA0827"/>
    <w:rsid w:val="00DA40DA"/>
    <w:rsid w:val="00DA467C"/>
    <w:rsid w:val="00DB5028"/>
    <w:rsid w:val="00DB7411"/>
    <w:rsid w:val="00DB7485"/>
    <w:rsid w:val="00DC0615"/>
    <w:rsid w:val="00DC0DED"/>
    <w:rsid w:val="00DC2DD2"/>
    <w:rsid w:val="00DC492D"/>
    <w:rsid w:val="00DC56B4"/>
    <w:rsid w:val="00DC619B"/>
    <w:rsid w:val="00DC7534"/>
    <w:rsid w:val="00DD0EAC"/>
    <w:rsid w:val="00DD4755"/>
    <w:rsid w:val="00DD6B4D"/>
    <w:rsid w:val="00DE233B"/>
    <w:rsid w:val="00DE3752"/>
    <w:rsid w:val="00DE6E46"/>
    <w:rsid w:val="00DF370A"/>
    <w:rsid w:val="00DF7BDD"/>
    <w:rsid w:val="00DF7C26"/>
    <w:rsid w:val="00E00384"/>
    <w:rsid w:val="00E005C9"/>
    <w:rsid w:val="00E006AF"/>
    <w:rsid w:val="00E04852"/>
    <w:rsid w:val="00E04B68"/>
    <w:rsid w:val="00E053C8"/>
    <w:rsid w:val="00E056DF"/>
    <w:rsid w:val="00E12AF5"/>
    <w:rsid w:val="00E201BC"/>
    <w:rsid w:val="00E2098F"/>
    <w:rsid w:val="00E23F5C"/>
    <w:rsid w:val="00E242BD"/>
    <w:rsid w:val="00E246EC"/>
    <w:rsid w:val="00E24FD5"/>
    <w:rsid w:val="00E26C79"/>
    <w:rsid w:val="00E30D9D"/>
    <w:rsid w:val="00E31D17"/>
    <w:rsid w:val="00E34409"/>
    <w:rsid w:val="00E401E1"/>
    <w:rsid w:val="00E41139"/>
    <w:rsid w:val="00E41B0C"/>
    <w:rsid w:val="00E50A39"/>
    <w:rsid w:val="00E50B45"/>
    <w:rsid w:val="00E52F40"/>
    <w:rsid w:val="00E57E8C"/>
    <w:rsid w:val="00E603AC"/>
    <w:rsid w:val="00E614CF"/>
    <w:rsid w:val="00E64283"/>
    <w:rsid w:val="00E6483F"/>
    <w:rsid w:val="00E6748E"/>
    <w:rsid w:val="00E712C9"/>
    <w:rsid w:val="00E73E9B"/>
    <w:rsid w:val="00E74070"/>
    <w:rsid w:val="00E77789"/>
    <w:rsid w:val="00E8151C"/>
    <w:rsid w:val="00E8187E"/>
    <w:rsid w:val="00E83993"/>
    <w:rsid w:val="00E84AD1"/>
    <w:rsid w:val="00E84BF3"/>
    <w:rsid w:val="00E85B5D"/>
    <w:rsid w:val="00E87A23"/>
    <w:rsid w:val="00E87B53"/>
    <w:rsid w:val="00E91511"/>
    <w:rsid w:val="00E9407C"/>
    <w:rsid w:val="00E94528"/>
    <w:rsid w:val="00E94DAC"/>
    <w:rsid w:val="00E96404"/>
    <w:rsid w:val="00EA25C2"/>
    <w:rsid w:val="00EA25DB"/>
    <w:rsid w:val="00EA3A6C"/>
    <w:rsid w:val="00EA4312"/>
    <w:rsid w:val="00EA79AE"/>
    <w:rsid w:val="00EB299F"/>
    <w:rsid w:val="00EB6CD9"/>
    <w:rsid w:val="00EB7163"/>
    <w:rsid w:val="00EC78F2"/>
    <w:rsid w:val="00ED0357"/>
    <w:rsid w:val="00ED1433"/>
    <w:rsid w:val="00ED29C1"/>
    <w:rsid w:val="00ED2D05"/>
    <w:rsid w:val="00EE131D"/>
    <w:rsid w:val="00EE1EC7"/>
    <w:rsid w:val="00EE785D"/>
    <w:rsid w:val="00EF02DD"/>
    <w:rsid w:val="00EF1744"/>
    <w:rsid w:val="00EF25EF"/>
    <w:rsid w:val="00F00805"/>
    <w:rsid w:val="00F00BFC"/>
    <w:rsid w:val="00F00F36"/>
    <w:rsid w:val="00F00FED"/>
    <w:rsid w:val="00F01566"/>
    <w:rsid w:val="00F05E8F"/>
    <w:rsid w:val="00F06693"/>
    <w:rsid w:val="00F11048"/>
    <w:rsid w:val="00F14223"/>
    <w:rsid w:val="00F16879"/>
    <w:rsid w:val="00F20603"/>
    <w:rsid w:val="00F20814"/>
    <w:rsid w:val="00F21CED"/>
    <w:rsid w:val="00F24933"/>
    <w:rsid w:val="00F25035"/>
    <w:rsid w:val="00F2677C"/>
    <w:rsid w:val="00F33D98"/>
    <w:rsid w:val="00F33E3E"/>
    <w:rsid w:val="00F34F43"/>
    <w:rsid w:val="00F36137"/>
    <w:rsid w:val="00F37F60"/>
    <w:rsid w:val="00F4011E"/>
    <w:rsid w:val="00F4269B"/>
    <w:rsid w:val="00F431AA"/>
    <w:rsid w:val="00F434E9"/>
    <w:rsid w:val="00F52DFA"/>
    <w:rsid w:val="00F52FD7"/>
    <w:rsid w:val="00F54B7F"/>
    <w:rsid w:val="00F55787"/>
    <w:rsid w:val="00F56D7D"/>
    <w:rsid w:val="00F626A8"/>
    <w:rsid w:val="00F64610"/>
    <w:rsid w:val="00F6512E"/>
    <w:rsid w:val="00F703E3"/>
    <w:rsid w:val="00F70ABC"/>
    <w:rsid w:val="00F75E45"/>
    <w:rsid w:val="00F76566"/>
    <w:rsid w:val="00F81036"/>
    <w:rsid w:val="00F81E42"/>
    <w:rsid w:val="00F82A79"/>
    <w:rsid w:val="00F85D99"/>
    <w:rsid w:val="00F9305E"/>
    <w:rsid w:val="00F96748"/>
    <w:rsid w:val="00FA01B3"/>
    <w:rsid w:val="00FA1D94"/>
    <w:rsid w:val="00FA7268"/>
    <w:rsid w:val="00FA7BDF"/>
    <w:rsid w:val="00FB08AB"/>
    <w:rsid w:val="00FB0903"/>
    <w:rsid w:val="00FB586F"/>
    <w:rsid w:val="00FB7BCF"/>
    <w:rsid w:val="00FC074E"/>
    <w:rsid w:val="00FC4122"/>
    <w:rsid w:val="00FC4312"/>
    <w:rsid w:val="00FD1FB1"/>
    <w:rsid w:val="00FD2DC3"/>
    <w:rsid w:val="00FD7048"/>
    <w:rsid w:val="00FD709A"/>
    <w:rsid w:val="00FE2078"/>
    <w:rsid w:val="00FE3BBC"/>
    <w:rsid w:val="00FE5FC9"/>
    <w:rsid w:val="00FF1BF7"/>
    <w:rsid w:val="00FF555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956DF"/>
  <w15:chartTrackingRefBased/>
  <w15:docId w15:val="{DA8204A7-FB5F-42EE-B329-61C99FCA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F98"/>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Heading2"/>
    <w:next w:val="Normal"/>
    <w:link w:val="Heading1Char"/>
    <w:uiPriority w:val="9"/>
    <w:qFormat/>
    <w:rsid w:val="00641F62"/>
    <w:pPr>
      <w:numPr>
        <w:numId w:val="0"/>
      </w:numPr>
      <w:ind w:left="426"/>
      <w:outlineLvl w:val="0"/>
    </w:pPr>
    <w:rPr>
      <w:sz w:val="40"/>
      <w:szCs w:val="40"/>
    </w:rPr>
  </w:style>
  <w:style w:type="paragraph" w:styleId="Heading2">
    <w:name w:val="heading 2"/>
    <w:basedOn w:val="Default"/>
    <w:next w:val="Normal"/>
    <w:link w:val="Heading2Char"/>
    <w:uiPriority w:val="9"/>
    <w:unhideWhenUsed/>
    <w:qFormat/>
    <w:rsid w:val="00641F62"/>
    <w:pPr>
      <w:numPr>
        <w:numId w:val="19"/>
      </w:numPr>
      <w:jc w:val="both"/>
      <w:outlineLvl w:val="1"/>
    </w:pPr>
    <w:rPr>
      <w:b/>
      <w:bCs/>
      <w:color w:val="4C6380"/>
      <w:sz w:val="32"/>
      <w:szCs w:val="32"/>
    </w:rPr>
  </w:style>
  <w:style w:type="paragraph" w:styleId="Heading3">
    <w:name w:val="heading 3"/>
    <w:basedOn w:val="Default"/>
    <w:next w:val="Normal"/>
    <w:link w:val="Heading3Char"/>
    <w:uiPriority w:val="9"/>
    <w:unhideWhenUsed/>
    <w:qFormat/>
    <w:rsid w:val="00641F62"/>
    <w:pPr>
      <w:jc w:val="both"/>
      <w:outlineLvl w:val="2"/>
    </w:pPr>
    <w:rPr>
      <w:rFonts w:asciiTheme="minorHAnsi" w:hAnsiTheme="minorHAnsi" w:cstheme="minorHAnsi"/>
      <w:b/>
      <w:bCs/>
      <w:color w:val="4C6380"/>
      <w:sz w:val="28"/>
      <w:szCs w:val="28"/>
    </w:rPr>
  </w:style>
  <w:style w:type="paragraph" w:styleId="Heading4">
    <w:name w:val="heading 4"/>
    <w:basedOn w:val="Default"/>
    <w:next w:val="Normal"/>
    <w:link w:val="Heading4Char"/>
    <w:uiPriority w:val="9"/>
    <w:unhideWhenUsed/>
    <w:qFormat/>
    <w:rsid w:val="00641F62"/>
    <w:pPr>
      <w:jc w:val="both"/>
      <w:outlineLvl w:val="3"/>
    </w:pPr>
    <w:rPr>
      <w:rFonts w:asciiTheme="minorHAnsi" w:hAnsiTheme="minorHAnsi" w:cstheme="minorHAnsi"/>
      <w:b/>
      <w:color w:val="222A35"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FA4"/>
    <w:pPr>
      <w:tabs>
        <w:tab w:val="center" w:pos="4513"/>
        <w:tab w:val="right" w:pos="9026"/>
      </w:tabs>
    </w:pPr>
  </w:style>
  <w:style w:type="character" w:customStyle="1" w:styleId="HeaderChar">
    <w:name w:val="Header Char"/>
    <w:basedOn w:val="DefaultParagraphFont"/>
    <w:link w:val="Header"/>
    <w:uiPriority w:val="99"/>
    <w:rsid w:val="00B43FA4"/>
  </w:style>
  <w:style w:type="paragraph" w:styleId="Footer">
    <w:name w:val="footer"/>
    <w:basedOn w:val="Normal"/>
    <w:link w:val="FooterChar"/>
    <w:uiPriority w:val="99"/>
    <w:unhideWhenUsed/>
    <w:rsid w:val="00B43FA4"/>
    <w:pPr>
      <w:tabs>
        <w:tab w:val="center" w:pos="4513"/>
        <w:tab w:val="right" w:pos="9026"/>
      </w:tabs>
    </w:pPr>
  </w:style>
  <w:style w:type="character" w:customStyle="1" w:styleId="FooterChar">
    <w:name w:val="Footer Char"/>
    <w:basedOn w:val="DefaultParagraphFont"/>
    <w:link w:val="Footer"/>
    <w:uiPriority w:val="99"/>
    <w:rsid w:val="00B43FA4"/>
  </w:style>
  <w:style w:type="paragraph" w:styleId="ListParagraph">
    <w:name w:val="List Paragraph"/>
    <w:basedOn w:val="Normal"/>
    <w:uiPriority w:val="34"/>
    <w:qFormat/>
    <w:rsid w:val="00B43FA4"/>
    <w:pPr>
      <w:spacing w:line="300" w:lineRule="auto"/>
      <w:ind w:left="720"/>
    </w:pPr>
    <w:rPr>
      <w:rFonts w:ascii="Tahoma" w:hAnsi="Tahoma"/>
      <w:sz w:val="20"/>
      <w:lang w:val="en-GB"/>
    </w:rPr>
  </w:style>
  <w:style w:type="paragraph" w:customStyle="1" w:styleId="Default">
    <w:name w:val="Default"/>
    <w:rsid w:val="00B43FA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43FA4"/>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1F62"/>
    <w:rPr>
      <w:rFonts w:ascii="Arial" w:hAnsi="Arial" w:cs="Arial"/>
      <w:b/>
      <w:bCs/>
      <w:color w:val="4C6380"/>
      <w:sz w:val="32"/>
      <w:szCs w:val="32"/>
    </w:rPr>
  </w:style>
  <w:style w:type="character" w:customStyle="1" w:styleId="Heading1Char">
    <w:name w:val="Heading 1 Char"/>
    <w:basedOn w:val="DefaultParagraphFont"/>
    <w:link w:val="Heading1"/>
    <w:uiPriority w:val="9"/>
    <w:rsid w:val="00641F62"/>
    <w:rPr>
      <w:rFonts w:ascii="Arial" w:hAnsi="Arial" w:cs="Arial"/>
      <w:b/>
      <w:bCs/>
      <w:color w:val="4C6380"/>
      <w:sz w:val="40"/>
      <w:szCs w:val="40"/>
    </w:rPr>
  </w:style>
  <w:style w:type="character" w:customStyle="1" w:styleId="Heading3Char">
    <w:name w:val="Heading 3 Char"/>
    <w:basedOn w:val="DefaultParagraphFont"/>
    <w:link w:val="Heading3"/>
    <w:uiPriority w:val="9"/>
    <w:rsid w:val="00641F62"/>
    <w:rPr>
      <w:rFonts w:cstheme="minorHAnsi"/>
      <w:b/>
      <w:bCs/>
      <w:color w:val="4C6380"/>
      <w:sz w:val="28"/>
      <w:szCs w:val="28"/>
    </w:rPr>
  </w:style>
  <w:style w:type="character" w:customStyle="1" w:styleId="Heading4Char">
    <w:name w:val="Heading 4 Char"/>
    <w:basedOn w:val="DefaultParagraphFont"/>
    <w:link w:val="Heading4"/>
    <w:uiPriority w:val="9"/>
    <w:rsid w:val="00641F62"/>
    <w:rPr>
      <w:rFonts w:cstheme="minorHAnsi"/>
      <w:b/>
      <w:color w:val="222A35" w:themeColor="text2" w:themeShade="80"/>
      <w:sz w:val="24"/>
      <w:szCs w:val="24"/>
    </w:rPr>
  </w:style>
  <w:style w:type="paragraph" w:styleId="TOC1">
    <w:name w:val="toc 1"/>
    <w:basedOn w:val="Normal"/>
    <w:next w:val="Normal"/>
    <w:autoRedefine/>
    <w:uiPriority w:val="39"/>
    <w:unhideWhenUsed/>
    <w:rsid w:val="00A0094C"/>
    <w:pPr>
      <w:spacing w:after="100"/>
    </w:pPr>
  </w:style>
  <w:style w:type="paragraph" w:styleId="TOC2">
    <w:name w:val="toc 2"/>
    <w:basedOn w:val="Normal"/>
    <w:next w:val="Normal"/>
    <w:autoRedefine/>
    <w:uiPriority w:val="39"/>
    <w:unhideWhenUsed/>
    <w:rsid w:val="00D71017"/>
    <w:pPr>
      <w:tabs>
        <w:tab w:val="left" w:pos="660"/>
        <w:tab w:val="right" w:leader="dot" w:pos="9016"/>
      </w:tabs>
      <w:spacing w:after="100"/>
      <w:ind w:left="220"/>
    </w:pPr>
  </w:style>
  <w:style w:type="paragraph" w:styleId="TOC3">
    <w:name w:val="toc 3"/>
    <w:basedOn w:val="Normal"/>
    <w:next w:val="Normal"/>
    <w:autoRedefine/>
    <w:uiPriority w:val="39"/>
    <w:unhideWhenUsed/>
    <w:rsid w:val="00A0094C"/>
    <w:pPr>
      <w:spacing w:after="100"/>
      <w:ind w:left="440"/>
    </w:pPr>
  </w:style>
  <w:style w:type="character" w:styleId="Hyperlink">
    <w:name w:val="Hyperlink"/>
    <w:basedOn w:val="DefaultParagraphFont"/>
    <w:uiPriority w:val="99"/>
    <w:unhideWhenUsed/>
    <w:rsid w:val="00A0094C"/>
    <w:rPr>
      <w:color w:val="0563C1" w:themeColor="hyperlink"/>
      <w:u w:val="single"/>
    </w:rPr>
  </w:style>
  <w:style w:type="paragraph" w:styleId="TOCHeading">
    <w:name w:val="TOC Heading"/>
    <w:basedOn w:val="Heading1"/>
    <w:next w:val="Normal"/>
    <w:uiPriority w:val="39"/>
    <w:unhideWhenUsed/>
    <w:qFormat/>
    <w:rsid w:val="00E242BD"/>
    <w:pPr>
      <w:keepNext/>
      <w:keepLines/>
      <w:autoSpaceDE/>
      <w:autoSpaceDN/>
      <w:adjustRightInd/>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4">
    <w:name w:val="toc 4"/>
    <w:basedOn w:val="Normal"/>
    <w:next w:val="Normal"/>
    <w:autoRedefine/>
    <w:uiPriority w:val="39"/>
    <w:unhideWhenUsed/>
    <w:rsid w:val="00E84AD1"/>
    <w:pPr>
      <w:tabs>
        <w:tab w:val="left" w:pos="1540"/>
        <w:tab w:val="right" w:leader="dot" w:pos="9016"/>
      </w:tabs>
      <w:spacing w:after="100"/>
      <w:ind w:left="660"/>
    </w:pPr>
  </w:style>
  <w:style w:type="paragraph" w:styleId="Revision">
    <w:name w:val="Revision"/>
    <w:hidden/>
    <w:uiPriority w:val="99"/>
    <w:semiHidden/>
    <w:rsid w:val="0062518C"/>
    <w:pPr>
      <w:spacing w:after="0" w:line="240" w:lineRule="auto"/>
    </w:pPr>
    <w:rPr>
      <w:rFonts w:ascii="Arial" w:hAnsi="Arial" w:cs="Arial"/>
      <w:color w:val="000000"/>
    </w:rPr>
  </w:style>
  <w:style w:type="character" w:styleId="CommentReference">
    <w:name w:val="annotation reference"/>
    <w:basedOn w:val="DefaultParagraphFont"/>
    <w:uiPriority w:val="99"/>
    <w:semiHidden/>
    <w:unhideWhenUsed/>
    <w:rsid w:val="008F5918"/>
    <w:rPr>
      <w:sz w:val="16"/>
      <w:szCs w:val="16"/>
    </w:rPr>
  </w:style>
  <w:style w:type="paragraph" w:styleId="CommentText">
    <w:name w:val="annotation text"/>
    <w:basedOn w:val="Normal"/>
    <w:link w:val="CommentTextChar"/>
    <w:uiPriority w:val="99"/>
    <w:unhideWhenUsed/>
    <w:rsid w:val="008F5918"/>
    <w:rPr>
      <w:sz w:val="20"/>
      <w:szCs w:val="20"/>
    </w:rPr>
  </w:style>
  <w:style w:type="character" w:customStyle="1" w:styleId="CommentTextChar">
    <w:name w:val="Comment Text Char"/>
    <w:basedOn w:val="DefaultParagraphFont"/>
    <w:link w:val="CommentText"/>
    <w:uiPriority w:val="99"/>
    <w:rsid w:val="008F5918"/>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F5918"/>
    <w:rPr>
      <w:b/>
      <w:bCs/>
    </w:rPr>
  </w:style>
  <w:style w:type="character" w:customStyle="1" w:styleId="CommentSubjectChar">
    <w:name w:val="Comment Subject Char"/>
    <w:basedOn w:val="CommentTextChar"/>
    <w:link w:val="CommentSubject"/>
    <w:uiPriority w:val="99"/>
    <w:semiHidden/>
    <w:rsid w:val="008F5918"/>
    <w:rPr>
      <w:rFonts w:ascii="Arial" w:hAnsi="Arial" w:cs="Arial"/>
      <w:b/>
      <w:bCs/>
      <w:color w:val="000000"/>
      <w:sz w:val="20"/>
      <w:szCs w:val="20"/>
    </w:rPr>
  </w:style>
  <w:style w:type="paragraph" w:styleId="NormalWeb">
    <w:name w:val="Normal (Web)"/>
    <w:basedOn w:val="Normal"/>
    <w:uiPriority w:val="99"/>
    <w:semiHidden/>
    <w:unhideWhenUsed/>
    <w:rsid w:val="00E41B0C"/>
    <w:pPr>
      <w:spacing w:before="100" w:beforeAutospacing="1" w:after="100" w:afterAutospacing="1"/>
    </w:pPr>
  </w:style>
  <w:style w:type="paragraph" w:styleId="FootnoteText">
    <w:name w:val="footnote text"/>
    <w:basedOn w:val="Normal"/>
    <w:link w:val="FootnoteTextChar"/>
    <w:uiPriority w:val="99"/>
    <w:semiHidden/>
    <w:unhideWhenUsed/>
    <w:rsid w:val="0098367D"/>
    <w:rPr>
      <w:sz w:val="20"/>
      <w:szCs w:val="20"/>
    </w:rPr>
  </w:style>
  <w:style w:type="character" w:customStyle="1" w:styleId="FootnoteTextChar">
    <w:name w:val="Footnote Text Char"/>
    <w:basedOn w:val="DefaultParagraphFont"/>
    <w:link w:val="FootnoteText"/>
    <w:uiPriority w:val="99"/>
    <w:semiHidden/>
    <w:rsid w:val="0098367D"/>
    <w:rPr>
      <w:rFonts w:ascii="Arial" w:hAnsi="Arial" w:cs="Arial"/>
      <w:color w:val="000000"/>
      <w:sz w:val="20"/>
      <w:szCs w:val="20"/>
    </w:rPr>
  </w:style>
  <w:style w:type="character" w:styleId="FootnoteReference">
    <w:name w:val="footnote reference"/>
    <w:basedOn w:val="DefaultParagraphFont"/>
    <w:uiPriority w:val="99"/>
    <w:semiHidden/>
    <w:unhideWhenUsed/>
    <w:rsid w:val="0098367D"/>
    <w:rPr>
      <w:vertAlign w:val="superscript"/>
    </w:rPr>
  </w:style>
  <w:style w:type="paragraph" w:styleId="NoSpacing">
    <w:name w:val="No Spacing"/>
    <w:uiPriority w:val="1"/>
    <w:qFormat/>
    <w:rsid w:val="00216BFE"/>
    <w:pPr>
      <w:autoSpaceDE w:val="0"/>
      <w:autoSpaceDN w:val="0"/>
      <w:adjustRightInd w:val="0"/>
      <w:spacing w:after="0" w:line="240" w:lineRule="auto"/>
    </w:pPr>
    <w:rPr>
      <w:rFonts w:ascii="Arial" w:hAnsi="Arial" w:cs="Arial"/>
      <w:color w:val="000000"/>
    </w:rPr>
  </w:style>
  <w:style w:type="character" w:styleId="UnresolvedMention">
    <w:name w:val="Unresolved Mention"/>
    <w:basedOn w:val="DefaultParagraphFont"/>
    <w:uiPriority w:val="99"/>
    <w:unhideWhenUsed/>
    <w:rsid w:val="00857E0D"/>
    <w:rPr>
      <w:color w:val="605E5C"/>
      <w:shd w:val="clear" w:color="auto" w:fill="E1DFDD"/>
    </w:rPr>
  </w:style>
  <w:style w:type="character" w:styleId="Mention">
    <w:name w:val="Mention"/>
    <w:basedOn w:val="DefaultParagraphFont"/>
    <w:uiPriority w:val="99"/>
    <w:unhideWhenUsed/>
    <w:rsid w:val="00857E0D"/>
    <w:rPr>
      <w:color w:val="2B579A"/>
      <w:shd w:val="clear" w:color="auto" w:fill="E1DFDD"/>
    </w:rPr>
  </w:style>
  <w:style w:type="character" w:customStyle="1" w:styleId="normaltextrun">
    <w:name w:val="normaltextrun"/>
    <w:basedOn w:val="DefaultParagraphFont"/>
    <w:rsid w:val="0060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46798">
      <w:bodyDiv w:val="1"/>
      <w:marLeft w:val="0"/>
      <w:marRight w:val="0"/>
      <w:marTop w:val="0"/>
      <w:marBottom w:val="0"/>
      <w:divBdr>
        <w:top w:val="none" w:sz="0" w:space="0" w:color="auto"/>
        <w:left w:val="none" w:sz="0" w:space="0" w:color="auto"/>
        <w:bottom w:val="none" w:sz="0" w:space="0" w:color="auto"/>
        <w:right w:val="none" w:sz="0" w:space="0" w:color="auto"/>
      </w:divBdr>
    </w:div>
    <w:div w:id="890768113">
      <w:bodyDiv w:val="1"/>
      <w:marLeft w:val="0"/>
      <w:marRight w:val="0"/>
      <w:marTop w:val="0"/>
      <w:marBottom w:val="0"/>
      <w:divBdr>
        <w:top w:val="none" w:sz="0" w:space="0" w:color="auto"/>
        <w:left w:val="none" w:sz="0" w:space="0" w:color="auto"/>
        <w:bottom w:val="none" w:sz="0" w:space="0" w:color="auto"/>
        <w:right w:val="none" w:sz="0" w:space="0" w:color="auto"/>
      </w:divBdr>
    </w:div>
    <w:div w:id="984771536">
      <w:bodyDiv w:val="1"/>
      <w:marLeft w:val="0"/>
      <w:marRight w:val="0"/>
      <w:marTop w:val="0"/>
      <w:marBottom w:val="0"/>
      <w:divBdr>
        <w:top w:val="none" w:sz="0" w:space="0" w:color="auto"/>
        <w:left w:val="none" w:sz="0" w:space="0" w:color="auto"/>
        <w:bottom w:val="none" w:sz="0" w:space="0" w:color="auto"/>
        <w:right w:val="none" w:sz="0" w:space="0" w:color="auto"/>
      </w:divBdr>
    </w:div>
    <w:div w:id="1318070534">
      <w:bodyDiv w:val="1"/>
      <w:marLeft w:val="0"/>
      <w:marRight w:val="0"/>
      <w:marTop w:val="0"/>
      <w:marBottom w:val="0"/>
      <w:divBdr>
        <w:top w:val="none" w:sz="0" w:space="0" w:color="auto"/>
        <w:left w:val="none" w:sz="0" w:space="0" w:color="auto"/>
        <w:bottom w:val="none" w:sz="0" w:space="0" w:color="auto"/>
        <w:right w:val="none" w:sz="0" w:space="0" w:color="auto"/>
      </w:divBdr>
      <w:divsChild>
        <w:div w:id="294330888">
          <w:marLeft w:val="0"/>
          <w:marRight w:val="0"/>
          <w:marTop w:val="0"/>
          <w:marBottom w:val="300"/>
          <w:divBdr>
            <w:top w:val="none" w:sz="0" w:space="0" w:color="auto"/>
            <w:left w:val="none" w:sz="0" w:space="0" w:color="auto"/>
            <w:bottom w:val="none" w:sz="0" w:space="0" w:color="auto"/>
            <w:right w:val="none" w:sz="0" w:space="0" w:color="auto"/>
          </w:divBdr>
          <w:divsChild>
            <w:div w:id="22021107">
              <w:marLeft w:val="-225"/>
              <w:marRight w:val="-225"/>
              <w:marTop w:val="0"/>
              <w:marBottom w:val="0"/>
              <w:divBdr>
                <w:top w:val="none" w:sz="0" w:space="0" w:color="auto"/>
                <w:left w:val="none" w:sz="0" w:space="0" w:color="auto"/>
                <w:bottom w:val="none" w:sz="0" w:space="0" w:color="auto"/>
                <w:right w:val="none" w:sz="0" w:space="0" w:color="auto"/>
              </w:divBdr>
            </w:div>
          </w:divsChild>
        </w:div>
        <w:div w:id="476075236">
          <w:marLeft w:val="0"/>
          <w:marRight w:val="0"/>
          <w:marTop w:val="0"/>
          <w:marBottom w:val="300"/>
          <w:divBdr>
            <w:top w:val="none" w:sz="0" w:space="0" w:color="auto"/>
            <w:left w:val="none" w:sz="0" w:space="0" w:color="auto"/>
            <w:bottom w:val="none" w:sz="0" w:space="0" w:color="auto"/>
            <w:right w:val="none" w:sz="0" w:space="0" w:color="auto"/>
          </w:divBdr>
          <w:divsChild>
            <w:div w:id="2740224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93060487">
      <w:bodyDiv w:val="1"/>
      <w:marLeft w:val="0"/>
      <w:marRight w:val="0"/>
      <w:marTop w:val="0"/>
      <w:marBottom w:val="0"/>
      <w:divBdr>
        <w:top w:val="none" w:sz="0" w:space="0" w:color="auto"/>
        <w:left w:val="none" w:sz="0" w:space="0" w:color="auto"/>
        <w:bottom w:val="none" w:sz="0" w:space="0" w:color="auto"/>
        <w:right w:val="none" w:sz="0" w:space="0" w:color="auto"/>
      </w:divBdr>
    </w:div>
    <w:div w:id="1647708547">
      <w:bodyDiv w:val="1"/>
      <w:marLeft w:val="0"/>
      <w:marRight w:val="0"/>
      <w:marTop w:val="0"/>
      <w:marBottom w:val="0"/>
      <w:divBdr>
        <w:top w:val="none" w:sz="0" w:space="0" w:color="auto"/>
        <w:left w:val="none" w:sz="0" w:space="0" w:color="auto"/>
        <w:bottom w:val="none" w:sz="0" w:space="0" w:color="auto"/>
        <w:right w:val="none" w:sz="0" w:space="0" w:color="auto"/>
      </w:divBdr>
    </w:div>
    <w:div w:id="20769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housing.old.gov.ie/sites/default/files/publications/files/december_2020_-_design_standards_for_new_apartment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ousing.old.gov.ie/housing/quality-housing-design-series/employers-requirements-detail-design-quality-housing-0" TargetMode="External"/><Relationship Id="rId2" Type="http://schemas.openxmlformats.org/officeDocument/2006/relationships/customXml" Target="../customXml/item2.xml"/><Relationship Id="rId16" Type="http://schemas.openxmlformats.org/officeDocument/2006/relationships/hyperlink" Target="https://www.opr.ie/wp-content/uploads/2019/08/2007-Delivering-Homes-Sustaining-Communities-Hsing-Policy-1.pdf" TargetMode="External"/><Relationship Id="rId20" Type="http://schemas.openxmlformats.org/officeDocument/2006/relationships/hyperlink" Target="https://www.gov.ie/en/publication/3360b1-design-manual-for-urban-roads-and-stre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gov.ie/en/publication/60868-quality-housing-for-sustainable-communities/" TargetMode="External"/><Relationship Id="rId10" Type="http://schemas.openxmlformats.org/officeDocument/2006/relationships/endnotes" Target="endnotes.xml"/><Relationship Id="rId19" Type="http://schemas.openxmlformats.org/officeDocument/2006/relationships/hyperlink" Target="https://www.gov.ie/en/publication/a8c85-sustainable-residential-developments-in-urban-areas-guidelines-for-planning-authorities-may-0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osullivan@meathcoco.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0D80-CCBD-439E-8659-8B8AF5777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1F1D7-BB07-474C-9D37-7DFBFCEA1077}">
  <ds:schemaRefs>
    <ds:schemaRef ds:uri="http://purl.org/dc/terms/"/>
    <ds:schemaRef ds:uri="http://schemas.openxmlformats.org/package/2006/metadata/core-properties"/>
    <ds:schemaRef ds:uri="219380ff-57d3-4995-a863-48eec5a0f8b8"/>
    <ds:schemaRef ds:uri="http://schemas.microsoft.com/office/2006/documentManagement/types"/>
    <ds:schemaRef ds:uri="http://schemas.microsoft.com/office/infopath/2007/PartnerControls"/>
    <ds:schemaRef ds:uri="http://purl.org/dc/elements/1.1/"/>
    <ds:schemaRef ds:uri="http://schemas.microsoft.com/office/2006/metadata/properties"/>
    <ds:schemaRef ds:uri="0155a485-0adc-4515-b5be-36da48e72880"/>
    <ds:schemaRef ds:uri="http://www.w3.org/XML/1998/namespace"/>
    <ds:schemaRef ds:uri="http://purl.org/dc/dcmitype/"/>
  </ds:schemaRefs>
</ds:datastoreItem>
</file>

<file path=customXml/itemProps3.xml><?xml version="1.0" encoding="utf-8"?>
<ds:datastoreItem xmlns:ds="http://schemas.openxmlformats.org/officeDocument/2006/customXml" ds:itemID="{1ED3F6DA-F034-45F5-9133-2A82E679D744}">
  <ds:schemaRefs>
    <ds:schemaRef ds:uri="http://schemas.microsoft.com/sharepoint/v3/contenttype/forms"/>
  </ds:schemaRefs>
</ds:datastoreItem>
</file>

<file path=customXml/itemProps4.xml><?xml version="1.0" encoding="utf-8"?>
<ds:datastoreItem xmlns:ds="http://schemas.openxmlformats.org/officeDocument/2006/customXml" ds:itemID="{5305D3AE-0ECE-45F8-B9BD-F1AF7E55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Links>
    <vt:vector size="168" baseType="variant">
      <vt:variant>
        <vt:i4>6291583</vt:i4>
      </vt:variant>
      <vt:variant>
        <vt:i4>159</vt:i4>
      </vt:variant>
      <vt:variant>
        <vt:i4>0</vt:i4>
      </vt:variant>
      <vt:variant>
        <vt:i4>5</vt:i4>
      </vt:variant>
      <vt:variant>
        <vt:lpwstr>https://www.gov.ie/en/publication/3360b1-design-manual-for-urban-roads-and-streets/</vt:lpwstr>
      </vt:variant>
      <vt:variant>
        <vt:lpwstr/>
      </vt:variant>
      <vt:variant>
        <vt:i4>6881326</vt:i4>
      </vt:variant>
      <vt:variant>
        <vt:i4>156</vt:i4>
      </vt:variant>
      <vt:variant>
        <vt:i4>0</vt:i4>
      </vt:variant>
      <vt:variant>
        <vt:i4>5</vt:i4>
      </vt:variant>
      <vt:variant>
        <vt:lpwstr>https://www.gov.ie/en/publication/a8c85-sustainable-residential-developments-in-urban-areas-guidelines-for-planning-authorities-may-09/</vt:lpwstr>
      </vt:variant>
      <vt:variant>
        <vt:lpwstr/>
      </vt:variant>
      <vt:variant>
        <vt:i4>3407954</vt:i4>
      </vt:variant>
      <vt:variant>
        <vt:i4>153</vt:i4>
      </vt:variant>
      <vt:variant>
        <vt:i4>0</vt:i4>
      </vt:variant>
      <vt:variant>
        <vt:i4>5</vt:i4>
      </vt:variant>
      <vt:variant>
        <vt:lpwstr>http://www.housing.old.gov.ie/sites/default/files/publications/files/december_2020_-_design_standards_for_new_apartments.pdf</vt:lpwstr>
      </vt:variant>
      <vt:variant>
        <vt:lpwstr/>
      </vt:variant>
      <vt:variant>
        <vt:i4>3080253</vt:i4>
      </vt:variant>
      <vt:variant>
        <vt:i4>150</vt:i4>
      </vt:variant>
      <vt:variant>
        <vt:i4>0</vt:i4>
      </vt:variant>
      <vt:variant>
        <vt:i4>5</vt:i4>
      </vt:variant>
      <vt:variant>
        <vt:lpwstr>http://www.housing.old.gov.ie/housing/quality-housing-design-series/employers-requirements-detail-design-quality-housing-0</vt:lpwstr>
      </vt:variant>
      <vt:variant>
        <vt:lpwstr/>
      </vt:variant>
      <vt:variant>
        <vt:i4>5111876</vt:i4>
      </vt:variant>
      <vt:variant>
        <vt:i4>147</vt:i4>
      </vt:variant>
      <vt:variant>
        <vt:i4>0</vt:i4>
      </vt:variant>
      <vt:variant>
        <vt:i4>5</vt:i4>
      </vt:variant>
      <vt:variant>
        <vt:lpwstr>https://www.opr.ie/wp-content/uploads/2019/08/2007-Delivering-Homes-Sustaining-Communities-Hsing-Policy-1.pdf</vt:lpwstr>
      </vt:variant>
      <vt:variant>
        <vt:lpwstr/>
      </vt:variant>
      <vt:variant>
        <vt:i4>262229</vt:i4>
      </vt:variant>
      <vt:variant>
        <vt:i4>144</vt:i4>
      </vt:variant>
      <vt:variant>
        <vt:i4>0</vt:i4>
      </vt:variant>
      <vt:variant>
        <vt:i4>5</vt:i4>
      </vt:variant>
      <vt:variant>
        <vt:lpwstr>https://www.gov.ie/en/publication/60868-quality-housing-for-sustainable-communities/</vt:lpwstr>
      </vt:variant>
      <vt:variant>
        <vt:lpwstr/>
      </vt:variant>
      <vt:variant>
        <vt:i4>1835066</vt:i4>
      </vt:variant>
      <vt:variant>
        <vt:i4>128</vt:i4>
      </vt:variant>
      <vt:variant>
        <vt:i4>0</vt:i4>
      </vt:variant>
      <vt:variant>
        <vt:i4>5</vt:i4>
      </vt:variant>
      <vt:variant>
        <vt:lpwstr/>
      </vt:variant>
      <vt:variant>
        <vt:lpwstr>_Toc88033111</vt:lpwstr>
      </vt:variant>
      <vt:variant>
        <vt:i4>1900602</vt:i4>
      </vt:variant>
      <vt:variant>
        <vt:i4>122</vt:i4>
      </vt:variant>
      <vt:variant>
        <vt:i4>0</vt:i4>
      </vt:variant>
      <vt:variant>
        <vt:i4>5</vt:i4>
      </vt:variant>
      <vt:variant>
        <vt:lpwstr/>
      </vt:variant>
      <vt:variant>
        <vt:lpwstr>_Toc88033110</vt:lpwstr>
      </vt:variant>
      <vt:variant>
        <vt:i4>1376315</vt:i4>
      </vt:variant>
      <vt:variant>
        <vt:i4>116</vt:i4>
      </vt:variant>
      <vt:variant>
        <vt:i4>0</vt:i4>
      </vt:variant>
      <vt:variant>
        <vt:i4>5</vt:i4>
      </vt:variant>
      <vt:variant>
        <vt:lpwstr/>
      </vt:variant>
      <vt:variant>
        <vt:lpwstr>_Toc88033108</vt:lpwstr>
      </vt:variant>
      <vt:variant>
        <vt:i4>1703995</vt:i4>
      </vt:variant>
      <vt:variant>
        <vt:i4>110</vt:i4>
      </vt:variant>
      <vt:variant>
        <vt:i4>0</vt:i4>
      </vt:variant>
      <vt:variant>
        <vt:i4>5</vt:i4>
      </vt:variant>
      <vt:variant>
        <vt:lpwstr/>
      </vt:variant>
      <vt:variant>
        <vt:lpwstr>_Toc88033107</vt:lpwstr>
      </vt:variant>
      <vt:variant>
        <vt:i4>1769531</vt:i4>
      </vt:variant>
      <vt:variant>
        <vt:i4>104</vt:i4>
      </vt:variant>
      <vt:variant>
        <vt:i4>0</vt:i4>
      </vt:variant>
      <vt:variant>
        <vt:i4>5</vt:i4>
      </vt:variant>
      <vt:variant>
        <vt:lpwstr/>
      </vt:variant>
      <vt:variant>
        <vt:lpwstr>_Toc88033106</vt:lpwstr>
      </vt:variant>
      <vt:variant>
        <vt:i4>1572923</vt:i4>
      </vt:variant>
      <vt:variant>
        <vt:i4>98</vt:i4>
      </vt:variant>
      <vt:variant>
        <vt:i4>0</vt:i4>
      </vt:variant>
      <vt:variant>
        <vt:i4>5</vt:i4>
      </vt:variant>
      <vt:variant>
        <vt:lpwstr/>
      </vt:variant>
      <vt:variant>
        <vt:lpwstr>_Toc88033105</vt:lpwstr>
      </vt:variant>
      <vt:variant>
        <vt:i4>1638459</vt:i4>
      </vt:variant>
      <vt:variant>
        <vt:i4>92</vt:i4>
      </vt:variant>
      <vt:variant>
        <vt:i4>0</vt:i4>
      </vt:variant>
      <vt:variant>
        <vt:i4>5</vt:i4>
      </vt:variant>
      <vt:variant>
        <vt:lpwstr/>
      </vt:variant>
      <vt:variant>
        <vt:lpwstr>_Toc88033104</vt:lpwstr>
      </vt:variant>
      <vt:variant>
        <vt:i4>1966139</vt:i4>
      </vt:variant>
      <vt:variant>
        <vt:i4>86</vt:i4>
      </vt:variant>
      <vt:variant>
        <vt:i4>0</vt:i4>
      </vt:variant>
      <vt:variant>
        <vt:i4>5</vt:i4>
      </vt:variant>
      <vt:variant>
        <vt:lpwstr/>
      </vt:variant>
      <vt:variant>
        <vt:lpwstr>_Toc88033103</vt:lpwstr>
      </vt:variant>
      <vt:variant>
        <vt:i4>2031675</vt:i4>
      </vt:variant>
      <vt:variant>
        <vt:i4>80</vt:i4>
      </vt:variant>
      <vt:variant>
        <vt:i4>0</vt:i4>
      </vt:variant>
      <vt:variant>
        <vt:i4>5</vt:i4>
      </vt:variant>
      <vt:variant>
        <vt:lpwstr/>
      </vt:variant>
      <vt:variant>
        <vt:lpwstr>_Toc88033102</vt:lpwstr>
      </vt:variant>
      <vt:variant>
        <vt:i4>1835067</vt:i4>
      </vt:variant>
      <vt:variant>
        <vt:i4>74</vt:i4>
      </vt:variant>
      <vt:variant>
        <vt:i4>0</vt:i4>
      </vt:variant>
      <vt:variant>
        <vt:i4>5</vt:i4>
      </vt:variant>
      <vt:variant>
        <vt:lpwstr/>
      </vt:variant>
      <vt:variant>
        <vt:lpwstr>_Toc88033101</vt:lpwstr>
      </vt:variant>
      <vt:variant>
        <vt:i4>1900603</vt:i4>
      </vt:variant>
      <vt:variant>
        <vt:i4>68</vt:i4>
      </vt:variant>
      <vt:variant>
        <vt:i4>0</vt:i4>
      </vt:variant>
      <vt:variant>
        <vt:i4>5</vt:i4>
      </vt:variant>
      <vt:variant>
        <vt:lpwstr/>
      </vt:variant>
      <vt:variant>
        <vt:lpwstr>_Toc88033100</vt:lpwstr>
      </vt:variant>
      <vt:variant>
        <vt:i4>1376306</vt:i4>
      </vt:variant>
      <vt:variant>
        <vt:i4>62</vt:i4>
      </vt:variant>
      <vt:variant>
        <vt:i4>0</vt:i4>
      </vt:variant>
      <vt:variant>
        <vt:i4>5</vt:i4>
      </vt:variant>
      <vt:variant>
        <vt:lpwstr/>
      </vt:variant>
      <vt:variant>
        <vt:lpwstr>_Toc88033099</vt:lpwstr>
      </vt:variant>
      <vt:variant>
        <vt:i4>1310770</vt:i4>
      </vt:variant>
      <vt:variant>
        <vt:i4>56</vt:i4>
      </vt:variant>
      <vt:variant>
        <vt:i4>0</vt:i4>
      </vt:variant>
      <vt:variant>
        <vt:i4>5</vt:i4>
      </vt:variant>
      <vt:variant>
        <vt:lpwstr/>
      </vt:variant>
      <vt:variant>
        <vt:lpwstr>_Toc88033098</vt:lpwstr>
      </vt:variant>
      <vt:variant>
        <vt:i4>1769522</vt:i4>
      </vt:variant>
      <vt:variant>
        <vt:i4>50</vt:i4>
      </vt:variant>
      <vt:variant>
        <vt:i4>0</vt:i4>
      </vt:variant>
      <vt:variant>
        <vt:i4>5</vt:i4>
      </vt:variant>
      <vt:variant>
        <vt:lpwstr/>
      </vt:variant>
      <vt:variant>
        <vt:lpwstr>_Toc88033097</vt:lpwstr>
      </vt:variant>
      <vt:variant>
        <vt:i4>1703986</vt:i4>
      </vt:variant>
      <vt:variant>
        <vt:i4>44</vt:i4>
      </vt:variant>
      <vt:variant>
        <vt:i4>0</vt:i4>
      </vt:variant>
      <vt:variant>
        <vt:i4>5</vt:i4>
      </vt:variant>
      <vt:variant>
        <vt:lpwstr/>
      </vt:variant>
      <vt:variant>
        <vt:lpwstr>_Toc88033096</vt:lpwstr>
      </vt:variant>
      <vt:variant>
        <vt:i4>1638450</vt:i4>
      </vt:variant>
      <vt:variant>
        <vt:i4>38</vt:i4>
      </vt:variant>
      <vt:variant>
        <vt:i4>0</vt:i4>
      </vt:variant>
      <vt:variant>
        <vt:i4>5</vt:i4>
      </vt:variant>
      <vt:variant>
        <vt:lpwstr/>
      </vt:variant>
      <vt:variant>
        <vt:lpwstr>_Toc88033095</vt:lpwstr>
      </vt:variant>
      <vt:variant>
        <vt:i4>1572914</vt:i4>
      </vt:variant>
      <vt:variant>
        <vt:i4>32</vt:i4>
      </vt:variant>
      <vt:variant>
        <vt:i4>0</vt:i4>
      </vt:variant>
      <vt:variant>
        <vt:i4>5</vt:i4>
      </vt:variant>
      <vt:variant>
        <vt:lpwstr/>
      </vt:variant>
      <vt:variant>
        <vt:lpwstr>_Toc88033094</vt:lpwstr>
      </vt:variant>
      <vt:variant>
        <vt:i4>2031666</vt:i4>
      </vt:variant>
      <vt:variant>
        <vt:i4>26</vt:i4>
      </vt:variant>
      <vt:variant>
        <vt:i4>0</vt:i4>
      </vt:variant>
      <vt:variant>
        <vt:i4>5</vt:i4>
      </vt:variant>
      <vt:variant>
        <vt:lpwstr/>
      </vt:variant>
      <vt:variant>
        <vt:lpwstr>_Toc88033093</vt:lpwstr>
      </vt:variant>
      <vt:variant>
        <vt:i4>1966130</vt:i4>
      </vt:variant>
      <vt:variant>
        <vt:i4>20</vt:i4>
      </vt:variant>
      <vt:variant>
        <vt:i4>0</vt:i4>
      </vt:variant>
      <vt:variant>
        <vt:i4>5</vt:i4>
      </vt:variant>
      <vt:variant>
        <vt:lpwstr/>
      </vt:variant>
      <vt:variant>
        <vt:lpwstr>_Toc88033092</vt:lpwstr>
      </vt:variant>
      <vt:variant>
        <vt:i4>1900594</vt:i4>
      </vt:variant>
      <vt:variant>
        <vt:i4>14</vt:i4>
      </vt:variant>
      <vt:variant>
        <vt:i4>0</vt:i4>
      </vt:variant>
      <vt:variant>
        <vt:i4>5</vt:i4>
      </vt:variant>
      <vt:variant>
        <vt:lpwstr/>
      </vt:variant>
      <vt:variant>
        <vt:lpwstr>_Toc88033091</vt:lpwstr>
      </vt:variant>
      <vt:variant>
        <vt:i4>1835058</vt:i4>
      </vt:variant>
      <vt:variant>
        <vt:i4>8</vt:i4>
      </vt:variant>
      <vt:variant>
        <vt:i4>0</vt:i4>
      </vt:variant>
      <vt:variant>
        <vt:i4>5</vt:i4>
      </vt:variant>
      <vt:variant>
        <vt:lpwstr/>
      </vt:variant>
      <vt:variant>
        <vt:lpwstr>_Toc88033090</vt:lpwstr>
      </vt:variant>
      <vt:variant>
        <vt:i4>1376307</vt:i4>
      </vt:variant>
      <vt:variant>
        <vt:i4>2</vt:i4>
      </vt:variant>
      <vt:variant>
        <vt:i4>0</vt:i4>
      </vt:variant>
      <vt:variant>
        <vt:i4>5</vt:i4>
      </vt:variant>
      <vt:variant>
        <vt:lpwstr/>
      </vt:variant>
      <vt:variant>
        <vt:lpwstr>_Toc88033089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Deirdre MacDermott</cp:lastModifiedBy>
  <cp:revision>2</cp:revision>
  <cp:lastPrinted>2021-11-09T12:15:00Z</cp:lastPrinted>
  <dcterms:created xsi:type="dcterms:W3CDTF">2021-11-26T13:03:00Z</dcterms:created>
  <dcterms:modified xsi:type="dcterms:W3CDTF">2021-11-26T13:03:00Z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