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9E1E84" w:rsidRDefault="00E02660" w:rsidP="00647411">
      <w:pPr>
        <w:jc w:val="center"/>
        <w:rPr>
          <w:rFonts w:ascii="Arial" w:hAnsi="Arial" w:cs="Arial"/>
          <w:b/>
          <w:sz w:val="36"/>
          <w:szCs w:val="36"/>
          <w:lang w:val="en-IE"/>
        </w:rPr>
      </w:pPr>
      <w:r w:rsidRPr="009E1E84">
        <w:rPr>
          <w:rFonts w:ascii="Arial" w:hAnsi="Arial" w:cs="Arial"/>
          <w:b/>
          <w:sz w:val="36"/>
          <w:szCs w:val="36"/>
          <w:lang w:val="en-IE"/>
        </w:rPr>
        <w:t xml:space="preserve">Department of </w:t>
      </w:r>
      <w:r w:rsidR="002C3BDE" w:rsidRPr="009E1E84">
        <w:rPr>
          <w:rFonts w:ascii="Arial" w:hAnsi="Arial" w:cs="Arial"/>
          <w:b/>
          <w:sz w:val="36"/>
          <w:szCs w:val="36"/>
          <w:lang w:val="en-IE"/>
        </w:rPr>
        <w:t xml:space="preserve">Rural and </w:t>
      </w:r>
      <w:r w:rsidR="00835539" w:rsidRPr="009E1E84">
        <w:rPr>
          <w:rFonts w:ascii="Arial" w:hAnsi="Arial" w:cs="Arial"/>
          <w:b/>
          <w:sz w:val="36"/>
          <w:szCs w:val="36"/>
          <w:lang w:val="en-IE"/>
        </w:rPr>
        <w:t>Community</w:t>
      </w:r>
      <w:r w:rsidR="002C3BDE" w:rsidRPr="009E1E84">
        <w:rPr>
          <w:rFonts w:ascii="Arial" w:hAnsi="Arial" w:cs="Arial"/>
          <w:b/>
          <w:sz w:val="36"/>
          <w:szCs w:val="36"/>
          <w:lang w:val="en-IE"/>
        </w:rPr>
        <w:t xml:space="preserve"> Development</w:t>
      </w:r>
    </w:p>
    <w:p w14:paraId="3A170E4C" w14:textId="6675B080" w:rsidR="0089452D" w:rsidRPr="009E1E84" w:rsidRDefault="000D6AD7" w:rsidP="006223B2">
      <w:pPr>
        <w:jc w:val="center"/>
        <w:rPr>
          <w:rFonts w:ascii="Arial" w:hAnsi="Arial" w:cs="Arial"/>
          <w:b/>
          <w:sz w:val="36"/>
          <w:szCs w:val="36"/>
          <w:lang w:val="en-IE"/>
        </w:rPr>
      </w:pPr>
      <w:r w:rsidRPr="009E1E84">
        <w:rPr>
          <w:rStyle w:val="Strong"/>
          <w:rFonts w:ascii="Arial" w:hAnsi="Arial" w:cs="Arial"/>
          <w:sz w:val="36"/>
          <w:szCs w:val="36"/>
        </w:rPr>
        <w:t>Local Enhancement Programme 2024</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2DD56CF4"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Local Enhancement Programme</w:t>
      </w:r>
      <w:r w:rsidR="009F654B">
        <w:rPr>
          <w:rFonts w:ascii="Arial" w:hAnsi="Arial" w:cs="Arial"/>
          <w:b/>
          <w:szCs w:val="24"/>
          <w:lang w:val="en-IE"/>
        </w:rPr>
        <w:t xml:space="preserve"> (</w:t>
      </w:r>
      <w:r w:rsidR="000D6AD7">
        <w:rPr>
          <w:rFonts w:ascii="Arial" w:hAnsi="Arial" w:cs="Arial"/>
          <w:b/>
          <w:szCs w:val="24"/>
          <w:lang w:val="en-IE"/>
        </w:rPr>
        <w:t>LEP</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745CE6B6"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LEP</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1D801F9F"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0D6AD7">
        <w:rPr>
          <w:rFonts w:ascii="Arial" w:hAnsi="Arial" w:cs="Arial"/>
          <w:b/>
          <w:szCs w:val="24"/>
          <w:lang w:eastAsia="en-IE"/>
        </w:rPr>
        <w:t>LEP</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39D972C4" w14:textId="0815AA63" w:rsidR="00312B5F" w:rsidRDefault="00E030E6" w:rsidP="000D6AD7">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000D6AD7">
        <w:rPr>
          <w:rStyle w:val="Strong"/>
          <w:rFonts w:ascii="Arial" w:hAnsi="Arial" w:cs="Arial"/>
          <w:szCs w:val="24"/>
        </w:rPr>
        <w:t>Local Enhancement Programme</w:t>
      </w:r>
      <w:r w:rsidRPr="009A629E">
        <w:rPr>
          <w:rStyle w:val="Strong"/>
          <w:rFonts w:ascii="Arial" w:hAnsi="Arial" w:cs="Arial"/>
          <w:b w:val="0"/>
          <w:szCs w:val="24"/>
        </w:rPr>
        <w:t xml:space="preserve"> will support groups, particularly in disadvantaged areas</w:t>
      </w:r>
      <w:r w:rsidR="000D6AD7">
        <w:rPr>
          <w:rStyle w:val="Strong"/>
          <w:rFonts w:ascii="Arial" w:hAnsi="Arial" w:cs="Arial"/>
          <w:b w:val="0"/>
          <w:szCs w:val="24"/>
        </w:rPr>
        <w:t xml:space="preserve"> </w:t>
      </w:r>
      <w:r w:rsidRPr="000D6AD7">
        <w:rPr>
          <w:rStyle w:val="Strong"/>
          <w:rFonts w:ascii="Arial" w:hAnsi="Arial" w:cs="Arial"/>
          <w:b w:val="0"/>
          <w:szCs w:val="24"/>
        </w:rPr>
        <w:t xml:space="preserve">to carry out necessary repairs and improvements to their facilities, </w:t>
      </w:r>
      <w:r w:rsidR="002A7587">
        <w:rPr>
          <w:rStyle w:val="Strong"/>
          <w:rFonts w:ascii="Arial" w:hAnsi="Arial" w:cs="Arial"/>
          <w:b w:val="0"/>
          <w:szCs w:val="24"/>
        </w:rPr>
        <w:t xml:space="preserve">and/or to </w:t>
      </w:r>
      <w:r w:rsidRPr="000D6AD7">
        <w:rPr>
          <w:rStyle w:val="Strong"/>
          <w:rFonts w:ascii="Arial" w:hAnsi="Arial" w:cs="Arial"/>
          <w:b w:val="0"/>
          <w:szCs w:val="24"/>
        </w:rPr>
        <w:t>purchase equipment</w:t>
      </w:r>
      <w:r w:rsidR="00C90F36">
        <w:rPr>
          <w:rStyle w:val="Strong"/>
          <w:rFonts w:ascii="Arial" w:hAnsi="Arial" w:cs="Arial"/>
          <w:b w:val="0"/>
          <w:szCs w:val="24"/>
        </w:rPr>
        <w:t>,</w:t>
      </w:r>
      <w:r w:rsidRPr="000D6AD7">
        <w:rPr>
          <w:rStyle w:val="Strong"/>
          <w:rFonts w:ascii="Arial" w:hAnsi="Arial" w:cs="Arial"/>
          <w:b w:val="0"/>
          <w:szCs w:val="24"/>
        </w:rPr>
        <w:t xml:space="preserve"> such as tables and chairs, tools and signage, laptops and printers, lawnmowers, canopies and training equipment</w:t>
      </w:r>
      <w:r w:rsidR="00DB63BB" w:rsidRPr="000D6AD7">
        <w:rPr>
          <w:rStyle w:val="Strong"/>
          <w:rFonts w:ascii="Arial" w:hAnsi="Arial" w:cs="Arial"/>
          <w:b w:val="0"/>
          <w:szCs w:val="24"/>
        </w:rPr>
        <w:t xml:space="preserve"> etc. </w:t>
      </w:r>
    </w:p>
    <w:p w14:paraId="524476EF" w14:textId="63D3499B"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t>This funding will help communities, community groups and committees, allowing them to continue to provide valuable services to the people in their area, and in the process strengthen the bonds that tie communities together. </w:t>
      </w:r>
    </w:p>
    <w:p w14:paraId="712A9176" w14:textId="27017BCB"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 xml:space="preserve">funding to provide small </w:t>
      </w:r>
      <w:r w:rsidR="000D6AD7">
        <w:rPr>
          <w:rFonts w:ascii="Arial" w:hAnsi="Arial" w:cs="Arial"/>
          <w:szCs w:val="24"/>
          <w:lang w:eastAsia="en-IE"/>
        </w:rPr>
        <w:t xml:space="preserve">capital </w:t>
      </w:r>
      <w:r w:rsidRPr="009A629E">
        <w:rPr>
          <w:rFonts w:ascii="Arial" w:hAnsi="Arial" w:cs="Arial"/>
          <w:szCs w:val="24"/>
          <w:lang w:eastAsia="en-IE"/>
        </w:rPr>
        <w:t>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699F1894" w14:textId="4647A8B9" w:rsidR="00C83310" w:rsidRDefault="002C0401" w:rsidP="0025146C">
      <w:pPr>
        <w:rPr>
          <w:rFonts w:ascii="Arial" w:hAnsi="Arial" w:cs="Arial"/>
          <w:szCs w:val="24"/>
          <w:lang w:val="en-IE"/>
        </w:rPr>
      </w:pPr>
      <w:r w:rsidRPr="0022448C">
        <w:rPr>
          <w:rFonts w:ascii="Arial" w:hAnsi="Arial" w:cs="Arial"/>
          <w:szCs w:val="24"/>
          <w:lang w:val="en-IE"/>
        </w:rPr>
        <w:lastRenderedPageBreak/>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w:t>
      </w:r>
      <w:r w:rsidR="00AF244B">
        <w:rPr>
          <w:rFonts w:ascii="Arial" w:hAnsi="Arial" w:cs="Arial"/>
          <w:szCs w:val="24"/>
          <w:lang w:val="en-IE"/>
        </w:rPr>
        <w:t>on</w:t>
      </w:r>
      <w:r w:rsidR="00045BCD">
        <w:rPr>
          <w:rFonts w:ascii="Arial" w:hAnsi="Arial" w:cs="Arial"/>
          <w:szCs w:val="24"/>
          <w:lang w:val="en-IE"/>
        </w:rPr>
        <w:t xml:space="preserve"> </w:t>
      </w:r>
      <w:r w:rsidR="00AF244B">
        <w:rPr>
          <w:rFonts w:ascii="Arial" w:hAnsi="Arial" w:cs="Arial"/>
          <w:szCs w:val="24"/>
          <w:lang w:val="en-IE"/>
        </w:rPr>
        <w:t>Tuesday 2</w:t>
      </w:r>
      <w:r w:rsidR="00AF244B" w:rsidRPr="00AF244B">
        <w:rPr>
          <w:rFonts w:ascii="Arial" w:hAnsi="Arial" w:cs="Arial"/>
          <w:szCs w:val="24"/>
          <w:vertAlign w:val="superscript"/>
          <w:lang w:val="en-IE"/>
        </w:rPr>
        <w:t>nd</w:t>
      </w:r>
      <w:r w:rsidR="00AF244B">
        <w:rPr>
          <w:rFonts w:ascii="Arial" w:hAnsi="Arial" w:cs="Arial"/>
          <w:szCs w:val="24"/>
          <w:lang w:val="en-IE"/>
        </w:rPr>
        <w:t xml:space="preserve"> January 2024 until Friday 9</w:t>
      </w:r>
      <w:r w:rsidR="00AF244B" w:rsidRPr="00AF244B">
        <w:rPr>
          <w:rFonts w:ascii="Arial" w:hAnsi="Arial" w:cs="Arial"/>
          <w:szCs w:val="24"/>
          <w:vertAlign w:val="superscript"/>
          <w:lang w:val="en-IE"/>
        </w:rPr>
        <w:t>th</w:t>
      </w:r>
      <w:r w:rsidR="00AF244B">
        <w:rPr>
          <w:rFonts w:ascii="Arial" w:hAnsi="Arial" w:cs="Arial"/>
          <w:szCs w:val="24"/>
          <w:lang w:val="en-IE"/>
        </w:rPr>
        <w:t xml:space="preserve"> February 2024.</w:t>
      </w:r>
    </w:p>
    <w:p w14:paraId="4620AD54" w14:textId="77777777" w:rsidR="00AF244B" w:rsidRPr="009E1E84" w:rsidRDefault="00AF244B" w:rsidP="0025146C">
      <w:pPr>
        <w:rPr>
          <w:rFonts w:ascii="Arial" w:hAnsi="Arial" w:cs="Arial"/>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A70B0D9"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w:t>
      </w:r>
      <w:r w:rsidR="000D6AD7">
        <w:rPr>
          <w:rFonts w:ascii="Arial" w:hAnsi="Arial" w:cs="Arial"/>
          <w:szCs w:val="24"/>
          <w:lang w:val="en-IE"/>
        </w:rPr>
        <w:t xml:space="preserve">capital </w:t>
      </w:r>
      <w:r>
        <w:rPr>
          <w:rFonts w:ascii="Arial" w:hAnsi="Arial" w:cs="Arial"/>
          <w:szCs w:val="24"/>
          <w:lang w:val="en-IE"/>
        </w:rPr>
        <w:t xml:space="preserve">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0F1C109"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05876325" w14:textId="789A0DF5" w:rsidR="002A7587" w:rsidRPr="00380D6E" w:rsidRDefault="002A758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Accessibility improvements </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7D3A66E9" w14:textId="77777777" w:rsidR="000D6AD7" w:rsidRDefault="000D6AD7" w:rsidP="00380D6E">
      <w:pPr>
        <w:pStyle w:val="ListParagraph"/>
        <w:numPr>
          <w:ilvl w:val="0"/>
          <w:numId w:val="12"/>
        </w:numPr>
        <w:jc w:val="both"/>
        <w:rPr>
          <w:rFonts w:ascii="Arial" w:hAnsi="Arial" w:cs="Arial"/>
        </w:rPr>
      </w:pPr>
      <w:r>
        <w:rPr>
          <w:rFonts w:ascii="Arial" w:hAnsi="Arial" w:cs="Arial"/>
          <w:bCs/>
        </w:rPr>
        <w:t>I</w:t>
      </w:r>
      <w:r w:rsidRPr="000D6AD7">
        <w:rPr>
          <w:rFonts w:ascii="Arial" w:hAnsi="Arial" w:cs="Arial"/>
          <w:bCs/>
        </w:rPr>
        <w:t>mproving energy efficiency of community facilities to reduce ongoing costs</w:t>
      </w:r>
      <w:r w:rsidRPr="009A629E">
        <w:rPr>
          <w:rFonts w:ascii="Arial" w:hAnsi="Arial" w:cs="Arial"/>
        </w:rPr>
        <w:t xml:space="preserve"> </w:t>
      </w:r>
    </w:p>
    <w:p w14:paraId="62C0AB51" w14:textId="4B89C779" w:rsidR="002800A2"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0D92A191" w14:textId="5599D148" w:rsidR="002A7587" w:rsidRPr="002A7587" w:rsidRDefault="002A7587" w:rsidP="002A7587">
      <w:pPr>
        <w:pStyle w:val="ListParagraph"/>
        <w:numPr>
          <w:ilvl w:val="0"/>
          <w:numId w:val="12"/>
        </w:numPr>
        <w:jc w:val="both"/>
        <w:rPr>
          <w:rFonts w:ascii="Arial" w:hAnsi="Arial" w:cs="Arial"/>
        </w:rPr>
      </w:pPr>
      <w:r>
        <w:rPr>
          <w:rFonts w:ascii="Arial" w:hAnsi="Arial" w:cs="Arial"/>
        </w:rPr>
        <w:t>Purchase of laptops, tablets</w:t>
      </w:r>
    </w:p>
    <w:p w14:paraId="13BB5515" w14:textId="784F491E" w:rsidR="00AE63CB"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r w:rsidR="00CB3D3D">
        <w:rPr>
          <w:rFonts w:ascii="Arial" w:hAnsi="Arial" w:cs="Arial"/>
          <w:szCs w:val="24"/>
          <w:lang w:eastAsia="en-IE"/>
        </w:rPr>
        <w:t>, including painting and repairs</w:t>
      </w:r>
    </w:p>
    <w:p w14:paraId="38CC4858" w14:textId="402E366F" w:rsidR="002A7587" w:rsidRPr="009A629E" w:rsidRDefault="002A7587" w:rsidP="005518CB">
      <w:pPr>
        <w:pStyle w:val="ListParagraph"/>
        <w:numPr>
          <w:ilvl w:val="0"/>
          <w:numId w:val="12"/>
        </w:numPr>
        <w:jc w:val="both"/>
        <w:rPr>
          <w:rFonts w:ascii="Arial" w:hAnsi="Arial" w:cs="Arial"/>
          <w:szCs w:val="24"/>
        </w:rPr>
      </w:pPr>
      <w:r>
        <w:rPr>
          <w:rFonts w:ascii="Arial" w:hAnsi="Arial" w:cs="Arial"/>
          <w:szCs w:val="24"/>
          <w:lang w:eastAsia="en-IE"/>
        </w:rPr>
        <w:t>Capital work to increase biodiversity, or to reduce the carbon footprint of a facility</w:t>
      </w:r>
    </w:p>
    <w:p w14:paraId="3D977FFB" w14:textId="4EAAADF7" w:rsidR="005A7494"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5CB65381" w14:textId="15B7C405" w:rsidR="00507E52" w:rsidRPr="000D6AD7" w:rsidRDefault="000D6AD7" w:rsidP="000D6AD7">
      <w:pPr>
        <w:overflowPunct/>
        <w:autoSpaceDE/>
        <w:autoSpaceDN/>
        <w:adjustRightInd/>
        <w:spacing w:after="160"/>
        <w:jc w:val="both"/>
        <w:textAlignment w:val="auto"/>
        <w:rPr>
          <w:rFonts w:ascii="Arial" w:hAnsi="Arial" w:cs="Arial"/>
          <w:bCs/>
        </w:rPr>
      </w:pPr>
      <w:r w:rsidRPr="000D6AD7">
        <w:rPr>
          <w:rFonts w:ascii="Arial" w:hAnsi="Arial" w:cs="Arial"/>
          <w:bCs/>
        </w:rPr>
        <w:t xml:space="preserve">The scheme is designed to ensure local priorities are identified and met, </w:t>
      </w:r>
      <w:proofErr w:type="gramStart"/>
      <w:r w:rsidRPr="000D6AD7">
        <w:rPr>
          <w:rFonts w:ascii="Arial" w:hAnsi="Arial" w:cs="Arial"/>
          <w:bCs/>
        </w:rPr>
        <w:t>so as to</w:t>
      </w:r>
      <w:proofErr w:type="gramEnd"/>
      <w:r w:rsidRPr="000D6AD7">
        <w:rPr>
          <w:rFonts w:ascii="Arial" w:hAnsi="Arial" w:cs="Arial"/>
          <w:bCs/>
        </w:rPr>
        <w:t xml:space="preserve"> improve and enhance community facilities for all.</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lastRenderedPageBreak/>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0A4CBBBC" w:rsidR="00092751" w:rsidRDefault="00D91BAE" w:rsidP="000D6AD7">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01F8ED85" w14:textId="480EBC0A" w:rsidR="000D6AD7" w:rsidRDefault="000D6AD7" w:rsidP="000D6AD7">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cs="Arial"/>
          <w:bCs/>
        </w:rPr>
        <w:t>Utility Bills</w:t>
      </w:r>
    </w:p>
    <w:p w14:paraId="7850B893" w14:textId="46E6F8BA" w:rsidR="002A7587" w:rsidRDefault="002A7587" w:rsidP="000D6AD7">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cs="Arial"/>
          <w:bCs/>
        </w:rPr>
        <w:t>General operating costs</w:t>
      </w:r>
    </w:p>
    <w:p w14:paraId="25E0E14C" w14:textId="77777777" w:rsidR="002A7587" w:rsidRPr="000D6AD7" w:rsidRDefault="002A7587" w:rsidP="002A7587">
      <w:pPr>
        <w:pStyle w:val="ListParagraph"/>
        <w:overflowPunct/>
        <w:autoSpaceDE/>
        <w:autoSpaceDN/>
        <w:adjustRightInd/>
        <w:spacing w:after="160"/>
        <w:ind w:left="360"/>
        <w:jc w:val="both"/>
        <w:textAlignment w:val="auto"/>
        <w:rPr>
          <w:rFonts w:ascii="Arial" w:hAnsi="Arial" w:cs="Arial"/>
          <w:bCs/>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361E7C22"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w:t>
      </w:r>
      <w:r w:rsidR="009E1E84">
        <w:rPr>
          <w:rFonts w:ascii="Arial" w:hAnsi="Arial" w:cs="Arial"/>
          <w:szCs w:val="24"/>
        </w:rPr>
        <w:t>must</w:t>
      </w:r>
      <w:r w:rsidR="0096160D">
        <w:rPr>
          <w:rFonts w:ascii="Arial" w:hAnsi="Arial" w:cs="Arial"/>
          <w:szCs w:val="24"/>
        </w:rPr>
        <w:t xml:space="preserve"> acknowledge the contribution of the Department</w:t>
      </w:r>
      <w:r w:rsidR="007F0C49">
        <w:rPr>
          <w:rFonts w:ascii="Arial" w:hAnsi="Arial" w:cs="Arial"/>
          <w:szCs w:val="24"/>
        </w:rPr>
        <w:t xml:space="preserve"> of Rural and Community Development</w:t>
      </w:r>
      <w:r w:rsidR="0096160D">
        <w:rPr>
          <w:rFonts w:ascii="Arial" w:hAnsi="Arial" w:cs="Arial"/>
          <w:szCs w:val="24"/>
        </w:rPr>
        <w: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2C104F97" w:rsidR="00E80165" w:rsidRPr="007022C8" w:rsidRDefault="007F0C49" w:rsidP="007022C8">
      <w:pPr>
        <w:pStyle w:val="ListParagraph"/>
        <w:numPr>
          <w:ilvl w:val="0"/>
          <w:numId w:val="18"/>
        </w:numPr>
        <w:jc w:val="both"/>
        <w:rPr>
          <w:szCs w:val="24"/>
        </w:rPr>
      </w:pPr>
      <w:r>
        <w:rPr>
          <w:rFonts w:ascii="Arial" w:eastAsia="MS Mincho" w:hAnsi="Arial" w:cs="Arial"/>
          <w:szCs w:val="24"/>
          <w:lang w:val="en-IE"/>
        </w:rPr>
        <w:t>s</w:t>
      </w:r>
      <w:r w:rsidR="007022C8" w:rsidRPr="009A629E">
        <w:rPr>
          <w:rFonts w:ascii="Arial" w:eastAsia="MS Mincho" w:hAnsi="Arial" w:cs="Arial"/>
          <w:szCs w:val="24"/>
          <w:lang w:val="en-IE"/>
        </w:rPr>
        <w:t xml:space="preserve">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Pr>
          <w:szCs w:val="24"/>
        </w:rPr>
        <w:t>;</w:t>
      </w:r>
    </w:p>
    <w:p w14:paraId="5261296E" w14:textId="7AA0B699" w:rsidR="007F0C49" w:rsidRDefault="007F0C49" w:rsidP="0025146C">
      <w:pPr>
        <w:pStyle w:val="Default"/>
        <w:numPr>
          <w:ilvl w:val="0"/>
          <w:numId w:val="19"/>
        </w:numPr>
        <w:jc w:val="both"/>
        <w:rPr>
          <w:rFonts w:ascii="Arial" w:eastAsia="MS Mincho" w:hAnsi="Arial" w:cs="Arial"/>
          <w:color w:val="auto"/>
          <w:lang w:eastAsia="en-US"/>
        </w:rPr>
      </w:pPr>
      <w:r>
        <w:rPr>
          <w:rFonts w:ascii="Arial" w:eastAsia="MS Mincho" w:hAnsi="Arial" w:cs="Arial"/>
          <w:color w:val="auto"/>
          <w:lang w:eastAsia="en-US"/>
        </w:rPr>
        <w:lastRenderedPageBreak/>
        <w:t>increase the number people that can be supported by the group, including through accessibility improvements, new community integration measures or safety improvements</w:t>
      </w:r>
      <w:r w:rsidR="00C90F36">
        <w:rPr>
          <w:rFonts w:ascii="Arial" w:eastAsia="MS Mincho" w:hAnsi="Arial" w:cs="Arial"/>
          <w:color w:val="auto"/>
          <w:lang w:eastAsia="en-US"/>
        </w:rPr>
        <w:t>;</w:t>
      </w:r>
    </w:p>
    <w:p w14:paraId="7CD16D05" w14:textId="4DE12BFB"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02FCC98"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w:t>
      </w:r>
      <w:r w:rsidR="007F0C49">
        <w:rPr>
          <w:szCs w:val="24"/>
        </w:rPr>
        <w:t>their</w:t>
      </w:r>
      <w:r w:rsidR="007F0C49" w:rsidRPr="004D3CB9">
        <w:rPr>
          <w:szCs w:val="24"/>
        </w:rPr>
        <w:t xml:space="preserve"> </w:t>
      </w:r>
      <w:r w:rsidRPr="004D3CB9">
        <w:rPr>
          <w:szCs w:val="24"/>
        </w:rPr>
        <w:t xml:space="preserve">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045D8CB6" w:rsidR="00054D10" w:rsidRDefault="00054D10" w:rsidP="0025146C">
      <w:pPr>
        <w:pStyle w:val="PlainText"/>
        <w:spacing w:before="0" w:beforeAutospacing="0" w:after="0" w:afterAutospacing="0"/>
        <w:jc w:val="left"/>
        <w:rPr>
          <w:szCs w:val="24"/>
        </w:rPr>
      </w:pPr>
    </w:p>
    <w:p w14:paraId="13EBC723" w14:textId="30D43BD5" w:rsidR="00C90F36" w:rsidRDefault="00C90F36" w:rsidP="0025146C">
      <w:pPr>
        <w:pStyle w:val="PlainText"/>
        <w:spacing w:before="0" w:beforeAutospacing="0" w:after="0" w:afterAutospacing="0"/>
        <w:jc w:val="left"/>
        <w:rPr>
          <w:szCs w:val="24"/>
        </w:rPr>
      </w:pPr>
    </w:p>
    <w:p w14:paraId="590833D8" w14:textId="72E09D96" w:rsidR="00C90F36" w:rsidRDefault="00C90F36" w:rsidP="0025146C">
      <w:pPr>
        <w:pStyle w:val="PlainText"/>
        <w:spacing w:before="0" w:beforeAutospacing="0" w:after="0" w:afterAutospacing="0"/>
        <w:jc w:val="left"/>
        <w:rPr>
          <w:szCs w:val="24"/>
        </w:rPr>
      </w:pPr>
    </w:p>
    <w:p w14:paraId="2E0A7935" w14:textId="77777777" w:rsidR="00C90F36" w:rsidRDefault="00C90F36"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7FF2C030" w:rsidR="00DB5F0E"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w:t>
      </w:r>
      <w:proofErr w:type="gramStart"/>
      <w:r w:rsidRPr="00BD7E8A">
        <w:rPr>
          <w:rFonts w:ascii="Arial" w:hAnsi="Arial" w:cs="Arial"/>
          <w:szCs w:val="24"/>
        </w:rPr>
        <w:t>a number of</w:t>
      </w:r>
      <w:proofErr w:type="gramEnd"/>
      <w:r w:rsidRPr="00BD7E8A">
        <w:rPr>
          <w:rFonts w:ascii="Arial" w:hAnsi="Arial" w:cs="Arial"/>
          <w:szCs w:val="24"/>
        </w:rPr>
        <w:t xml:space="preserve">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1EC3F7DC" w14:textId="77777777" w:rsidR="00C90F36" w:rsidRPr="00BD7E8A" w:rsidRDefault="00C90F36" w:rsidP="0025146C">
      <w:pPr>
        <w:jc w:val="both"/>
        <w:rPr>
          <w:rFonts w:ascii="Arial" w:hAnsi="Arial" w:cs="Arial"/>
          <w:szCs w:val="24"/>
        </w:rPr>
      </w:pPr>
    </w:p>
    <w:p w14:paraId="270035A1" w14:textId="40F6070B"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w:t>
      </w:r>
      <w:r w:rsidR="00C90F36" w:rsidRPr="00BD7E8A">
        <w:rPr>
          <w:rFonts w:ascii="Arial" w:hAnsi="Arial" w:cs="Arial"/>
          <w:b w:val="0"/>
          <w:iCs/>
          <w:szCs w:val="24"/>
        </w:rPr>
        <w:t>decision,</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77AD5AD9"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r w:rsidR="00C90F36" w:rsidRPr="00C90F36">
        <w:rPr>
          <w:rFonts w:ascii="Arial" w:hAnsi="Arial" w:cs="Arial"/>
          <w:b w:val="0"/>
          <w:iCs/>
          <w:szCs w:val="24"/>
        </w:rPr>
        <w:t>This is a matter for the LCDC in question, who must inform the Department of their intention to do so.</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1827AF7F" w14:textId="0B789EA5"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0B9B8BE3" w14:textId="14904405"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336CE0C8"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w:t>
      </w:r>
      <w:r w:rsidR="00177997">
        <w:rPr>
          <w:rFonts w:ascii="Arial" w:hAnsi="Arial" w:cs="Arial"/>
          <w:szCs w:val="24"/>
        </w:rPr>
        <w:t>, the</w:t>
      </w:r>
      <w:r w:rsidR="00381B16" w:rsidRPr="00222437">
        <w:rPr>
          <w:rFonts w:ascii="Arial" w:hAnsi="Arial" w:cs="Arial"/>
          <w:szCs w:val="24"/>
        </w:rPr>
        <w:t xml:space="preserve"> LCDC</w:t>
      </w:r>
      <w:r w:rsidR="00177997">
        <w:rPr>
          <w:rFonts w:ascii="Arial" w:hAnsi="Arial" w:cs="Arial"/>
          <w:szCs w:val="24"/>
        </w:rPr>
        <w:t>, or agents acting on their behalf</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767CF8F9"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w:t>
      </w:r>
      <w:r w:rsidR="00177997">
        <w:rPr>
          <w:rFonts w:ascii="Arial" w:hAnsi="Arial" w:cs="Arial"/>
          <w:szCs w:val="24"/>
        </w:rPr>
        <w:t xml:space="preserve">facilitate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1C229803" w:rsidR="001815BF" w:rsidRPr="009A629E" w:rsidRDefault="00177997" w:rsidP="001815BF">
      <w:pPr>
        <w:pStyle w:val="NoSpacing"/>
        <w:numPr>
          <w:ilvl w:val="0"/>
          <w:numId w:val="11"/>
        </w:numPr>
        <w:jc w:val="both"/>
        <w:rPr>
          <w:rFonts w:ascii="Arial" w:hAnsi="Arial" w:cs="Arial"/>
          <w:lang w:eastAsia="en-IE"/>
        </w:rPr>
      </w:pPr>
      <w:r>
        <w:rPr>
          <w:rFonts w:ascii="Arial" w:hAnsi="Arial" w:cs="Arial"/>
          <w:lang w:eastAsia="en-IE"/>
        </w:rPr>
        <w:t>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0231B644"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w:t>
      </w:r>
      <w:r w:rsidR="00420ED2">
        <w:rPr>
          <w:rFonts w:ascii="Arial" w:hAnsi="Arial" w:cs="Arial"/>
        </w:rPr>
        <w:t>, or a portion</w:t>
      </w:r>
      <w:r w:rsidRPr="000944B9">
        <w:rPr>
          <w:rFonts w:ascii="Arial" w:hAnsi="Arial" w:cs="Arial"/>
        </w:rPr>
        <w:t xml:space="preserve">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7EA55217"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w:t>
      </w:r>
      <w:r w:rsidR="00C90F36" w:rsidRPr="009A629E">
        <w:rPr>
          <w:rFonts w:ascii="Arial" w:hAnsi="Arial" w:cs="Arial"/>
          <w:szCs w:val="24"/>
        </w:rPr>
        <w:t>this programme</w:t>
      </w:r>
      <w:r w:rsidRPr="009A629E">
        <w:rPr>
          <w:rFonts w:ascii="Arial" w:hAnsi="Arial" w:cs="Arial"/>
          <w:szCs w:val="24"/>
        </w:rPr>
        <w:t xml:space="preserve">. </w:t>
      </w:r>
    </w:p>
    <w:p w14:paraId="4047A4DC" w14:textId="759529A8" w:rsidR="001815BF" w:rsidRDefault="001815BF" w:rsidP="001815BF">
      <w:pPr>
        <w:pStyle w:val="ListParagraph"/>
        <w:numPr>
          <w:ilvl w:val="0"/>
          <w:numId w:val="11"/>
        </w:numPr>
        <w:rPr>
          <w:rFonts w:ascii="Arial" w:hAnsi="Arial" w:cs="Arial"/>
          <w:szCs w:val="24"/>
        </w:rPr>
      </w:pPr>
      <w:r w:rsidRPr="009A629E">
        <w:rPr>
          <w:rFonts w:ascii="Arial" w:hAnsi="Arial" w:cs="Arial"/>
          <w:szCs w:val="24"/>
        </w:rPr>
        <w:lastRenderedPageBreak/>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6956814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 xml:space="preserve">application form in full </w:t>
      </w:r>
      <w:r w:rsidR="00BB585F">
        <w:rPr>
          <w:rFonts w:ascii="Arial" w:hAnsi="Arial" w:cs="Arial"/>
          <w:b/>
          <w:szCs w:val="24"/>
        </w:rPr>
        <w:t xml:space="preserve">and include 3 quotations with your application. </w:t>
      </w:r>
      <w:bookmarkStart w:id="0" w:name="_GoBack"/>
      <w:bookmarkEnd w:id="0"/>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2702B52D" w:rsidR="004C57DA" w:rsidRDefault="004C57DA" w:rsidP="0025146C">
      <w:pPr>
        <w:tabs>
          <w:tab w:val="left" w:pos="0"/>
          <w:tab w:val="right" w:pos="8901"/>
        </w:tabs>
        <w:rPr>
          <w:rFonts w:ascii="Arial" w:hAnsi="Arial" w:cs="Arial"/>
          <w:b/>
          <w:color w:val="FF0000"/>
          <w:szCs w:val="24"/>
          <w:lang w:eastAsia="en-IE"/>
        </w:rPr>
      </w:pPr>
    </w:p>
    <w:p w14:paraId="1C93D021" w14:textId="77777777" w:rsidR="00AF244B" w:rsidRPr="00395282" w:rsidRDefault="00AF244B" w:rsidP="00AF244B">
      <w:pPr>
        <w:rPr>
          <w:rFonts w:asciiTheme="minorHAnsi" w:hAnsiTheme="minorHAnsi" w:cstheme="minorHAnsi"/>
          <w:b/>
          <w:sz w:val="22"/>
          <w:szCs w:val="22"/>
        </w:rPr>
      </w:pPr>
      <w:r w:rsidRPr="00395282">
        <w:rPr>
          <w:rFonts w:asciiTheme="minorHAnsi" w:hAnsiTheme="minorHAnsi" w:cstheme="minorHAnsi"/>
          <w:b/>
          <w:sz w:val="22"/>
          <w:szCs w:val="22"/>
        </w:rPr>
        <w:t>ALL APPLICATIONS TO BE RETURNED by post or email to:</w:t>
      </w:r>
    </w:p>
    <w:p w14:paraId="6DA4377C" w14:textId="77777777" w:rsidR="00AF244B" w:rsidRPr="00395282" w:rsidRDefault="00AF244B" w:rsidP="00AF244B">
      <w:pPr>
        <w:rPr>
          <w:rFonts w:asciiTheme="minorHAnsi" w:hAnsiTheme="minorHAnsi" w:cstheme="minorHAnsi"/>
          <w:b/>
          <w:sz w:val="22"/>
          <w:szCs w:val="22"/>
        </w:rPr>
      </w:pPr>
    </w:p>
    <w:p w14:paraId="4FF18469"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noProof/>
          <w:sz w:val="22"/>
          <w:szCs w:val="22"/>
          <w:lang w:val="en-IE" w:eastAsia="en-IE"/>
        </w:rPr>
        <w:drawing>
          <wp:anchor distT="0" distB="0" distL="114300" distR="114300" simplePos="0" relativeHeight="251659264" behindDoc="1" locked="0" layoutInCell="1" allowOverlap="1" wp14:anchorId="399D498E" wp14:editId="621B8E39">
            <wp:simplePos x="0" y="0"/>
            <wp:positionH relativeFrom="column">
              <wp:posOffset>3215332</wp:posOffset>
            </wp:positionH>
            <wp:positionV relativeFrom="paragraph">
              <wp:posOffset>2420</wp:posOffset>
            </wp:positionV>
            <wp:extent cx="2650010" cy="1252151"/>
            <wp:effectExtent l="19050" t="0" r="0"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3" cstate="print"/>
                    <a:srcRect/>
                    <a:stretch>
                      <a:fillRect/>
                    </a:stretch>
                  </pic:blipFill>
                  <pic:spPr bwMode="auto">
                    <a:xfrm>
                      <a:off x="0" y="0"/>
                      <a:ext cx="2652575" cy="1253363"/>
                    </a:xfrm>
                    <a:prstGeom prst="rect">
                      <a:avLst/>
                    </a:prstGeom>
                    <a:noFill/>
                    <a:ln w="9525">
                      <a:noFill/>
                      <a:miter lim="800000"/>
                      <a:headEnd/>
                      <a:tailEnd/>
                    </a:ln>
                  </pic:spPr>
                </pic:pic>
              </a:graphicData>
            </a:graphic>
          </wp:anchor>
        </w:drawing>
      </w:r>
      <w:r w:rsidRPr="00395282">
        <w:rPr>
          <w:rFonts w:asciiTheme="minorHAnsi" w:hAnsiTheme="minorHAnsi" w:cstheme="minorHAnsi"/>
          <w:b/>
          <w:i/>
          <w:sz w:val="22"/>
          <w:szCs w:val="22"/>
        </w:rPr>
        <w:t xml:space="preserve">Meath LCDC, </w:t>
      </w:r>
    </w:p>
    <w:p w14:paraId="7F718D6D"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 xml:space="preserve">Community Section, </w:t>
      </w:r>
    </w:p>
    <w:p w14:paraId="424B9445"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Buvinda House,</w:t>
      </w:r>
    </w:p>
    <w:p w14:paraId="6883F6B4"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 xml:space="preserve">Dublin Road, </w:t>
      </w:r>
    </w:p>
    <w:p w14:paraId="299C36DA"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 xml:space="preserve">Navan, </w:t>
      </w:r>
    </w:p>
    <w:p w14:paraId="68F10C67"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 xml:space="preserve">Co. Meath </w:t>
      </w:r>
    </w:p>
    <w:p w14:paraId="0275C900" w14:textId="77777777" w:rsidR="00AF244B" w:rsidRPr="00395282" w:rsidRDefault="00AF244B" w:rsidP="00AF244B">
      <w:pPr>
        <w:rPr>
          <w:rFonts w:asciiTheme="minorHAnsi" w:hAnsiTheme="minorHAnsi" w:cstheme="minorHAnsi"/>
          <w:b/>
          <w:i/>
          <w:sz w:val="22"/>
          <w:szCs w:val="22"/>
        </w:rPr>
      </w:pPr>
      <w:r w:rsidRPr="00395282">
        <w:rPr>
          <w:rFonts w:asciiTheme="minorHAnsi" w:hAnsiTheme="minorHAnsi" w:cstheme="minorHAnsi"/>
          <w:b/>
          <w:i/>
          <w:sz w:val="22"/>
          <w:szCs w:val="22"/>
        </w:rPr>
        <w:t>C15 Y291</w:t>
      </w:r>
    </w:p>
    <w:p w14:paraId="7BACC8F5" w14:textId="77777777" w:rsidR="00AF244B" w:rsidRPr="00B614F3" w:rsidRDefault="00BB585F" w:rsidP="00AF244B">
      <w:pPr>
        <w:rPr>
          <w:rFonts w:asciiTheme="minorHAnsi" w:hAnsiTheme="minorHAnsi" w:cstheme="minorHAnsi"/>
          <w:b/>
          <w:i/>
          <w:sz w:val="23"/>
          <w:szCs w:val="23"/>
        </w:rPr>
      </w:pPr>
      <w:hyperlink r:id="rId14" w:history="1">
        <w:r w:rsidR="00AF244B" w:rsidRPr="002E6649">
          <w:rPr>
            <w:rStyle w:val="Hyperlink"/>
            <w:rFonts w:asciiTheme="minorHAnsi" w:hAnsiTheme="minorHAnsi" w:cstheme="minorHAnsi"/>
            <w:b/>
            <w:i/>
            <w:sz w:val="23"/>
            <w:szCs w:val="23"/>
          </w:rPr>
          <w:t>communitygrants@meathcoco.ie</w:t>
        </w:r>
      </w:hyperlink>
      <w:r w:rsidR="00AF244B">
        <w:rPr>
          <w:rFonts w:asciiTheme="minorHAnsi" w:hAnsiTheme="minorHAnsi" w:cstheme="minorHAnsi"/>
          <w:b/>
          <w:i/>
          <w:sz w:val="23"/>
          <w:szCs w:val="23"/>
        </w:rPr>
        <w:t xml:space="preserve"> </w:t>
      </w:r>
    </w:p>
    <w:p w14:paraId="2EA6558B" w14:textId="77777777" w:rsidR="00AF244B" w:rsidRPr="00B614F3" w:rsidRDefault="00AF244B" w:rsidP="00AF244B">
      <w:pPr>
        <w:rPr>
          <w:rFonts w:asciiTheme="minorHAnsi" w:hAnsiTheme="minorHAnsi" w:cstheme="minorHAnsi"/>
          <w:b/>
          <w:i/>
          <w:sz w:val="23"/>
          <w:szCs w:val="23"/>
        </w:rPr>
      </w:pPr>
    </w:p>
    <w:p w14:paraId="3E2C8DB0" w14:textId="1C784F58" w:rsidR="00AF244B" w:rsidRPr="00B614F3" w:rsidRDefault="00AF244B" w:rsidP="00AF244B">
      <w:pPr>
        <w:rPr>
          <w:rFonts w:asciiTheme="minorHAnsi" w:hAnsiTheme="minorHAnsi" w:cstheme="minorHAnsi"/>
          <w:b/>
          <w:sz w:val="23"/>
          <w:szCs w:val="23"/>
        </w:rPr>
      </w:pPr>
      <w:r w:rsidRPr="00B614F3">
        <w:rPr>
          <w:rFonts w:asciiTheme="minorHAnsi" w:hAnsiTheme="minorHAnsi" w:cstheme="minorHAnsi"/>
          <w:b/>
          <w:sz w:val="23"/>
          <w:szCs w:val="23"/>
        </w:rPr>
        <w:t xml:space="preserve">By 5pm </w:t>
      </w:r>
      <w:r>
        <w:rPr>
          <w:rFonts w:asciiTheme="minorHAnsi" w:hAnsiTheme="minorHAnsi" w:cstheme="minorHAnsi"/>
          <w:b/>
          <w:sz w:val="23"/>
          <w:szCs w:val="23"/>
        </w:rPr>
        <w:t>on Friday</w:t>
      </w:r>
      <w:r w:rsidRPr="00B614F3">
        <w:rPr>
          <w:rFonts w:asciiTheme="minorHAnsi" w:hAnsiTheme="minorHAnsi" w:cstheme="minorHAnsi"/>
          <w:b/>
          <w:sz w:val="23"/>
          <w:szCs w:val="23"/>
        </w:rPr>
        <w:t xml:space="preserve"> </w:t>
      </w:r>
      <w:r>
        <w:rPr>
          <w:rFonts w:asciiTheme="minorHAnsi" w:hAnsiTheme="minorHAnsi" w:cstheme="minorHAnsi"/>
          <w:b/>
          <w:sz w:val="23"/>
          <w:szCs w:val="23"/>
        </w:rPr>
        <w:t>9</w:t>
      </w:r>
      <w:r w:rsidRPr="00AF244B">
        <w:rPr>
          <w:rFonts w:asciiTheme="minorHAnsi" w:hAnsiTheme="minorHAnsi" w:cstheme="minorHAnsi"/>
          <w:b/>
          <w:sz w:val="23"/>
          <w:szCs w:val="23"/>
          <w:vertAlign w:val="superscript"/>
        </w:rPr>
        <w:t>th</w:t>
      </w:r>
      <w:r>
        <w:rPr>
          <w:rFonts w:asciiTheme="minorHAnsi" w:hAnsiTheme="minorHAnsi" w:cstheme="minorHAnsi"/>
          <w:b/>
          <w:sz w:val="23"/>
          <w:szCs w:val="23"/>
        </w:rPr>
        <w:t xml:space="preserve"> February 2024.  </w:t>
      </w:r>
      <w:r w:rsidRPr="00B614F3">
        <w:rPr>
          <w:rFonts w:asciiTheme="minorHAnsi" w:hAnsiTheme="minorHAnsi" w:cstheme="minorHAnsi"/>
          <w:b/>
          <w:sz w:val="23"/>
          <w:szCs w:val="23"/>
        </w:rPr>
        <w:t>Closing date will be strictly adhered to.</w:t>
      </w:r>
    </w:p>
    <w:p w14:paraId="4E446AC2" w14:textId="77777777" w:rsidR="00AF244B" w:rsidRPr="00B614F3" w:rsidRDefault="00AF244B" w:rsidP="00AF244B">
      <w:pPr>
        <w:tabs>
          <w:tab w:val="left" w:pos="0"/>
          <w:tab w:val="right" w:pos="8901"/>
        </w:tabs>
        <w:rPr>
          <w:rFonts w:asciiTheme="minorHAnsi" w:hAnsiTheme="minorHAnsi" w:cstheme="minorHAnsi"/>
          <w:b/>
          <w:szCs w:val="24"/>
          <w:lang w:eastAsia="en-IE"/>
        </w:rPr>
      </w:pPr>
    </w:p>
    <w:p w14:paraId="31C07BCE" w14:textId="2A7F71B9" w:rsidR="00AF244B" w:rsidRDefault="00AF244B" w:rsidP="00AF244B">
      <w:pPr>
        <w:rPr>
          <w:rFonts w:asciiTheme="minorHAnsi" w:hAnsiTheme="minorHAnsi" w:cstheme="minorHAnsi"/>
          <w:sz w:val="23"/>
          <w:szCs w:val="23"/>
        </w:rPr>
      </w:pPr>
      <w:r w:rsidRPr="00B614F3">
        <w:rPr>
          <w:rFonts w:asciiTheme="minorHAnsi" w:hAnsiTheme="minorHAnsi" w:cstheme="minorHAnsi"/>
          <w:sz w:val="23"/>
          <w:szCs w:val="23"/>
        </w:rPr>
        <w:t xml:space="preserve">Please direct your queries by email to </w:t>
      </w:r>
      <w:hyperlink r:id="rId15" w:history="1">
        <w:r w:rsidRPr="00B614F3">
          <w:rPr>
            <w:rStyle w:val="Hyperlink"/>
            <w:rFonts w:asciiTheme="minorHAnsi" w:hAnsiTheme="minorHAnsi" w:cstheme="minorHAnsi"/>
            <w:sz w:val="23"/>
            <w:szCs w:val="23"/>
          </w:rPr>
          <w:t>communitygrants@meathcoco.ie</w:t>
        </w:r>
      </w:hyperlink>
      <w:r w:rsidRPr="00B614F3">
        <w:rPr>
          <w:rFonts w:asciiTheme="minorHAnsi" w:hAnsiTheme="minorHAnsi" w:cstheme="minorHAnsi"/>
          <w:sz w:val="23"/>
          <w:szCs w:val="23"/>
        </w:rPr>
        <w:t xml:space="preserve"> quoting </w:t>
      </w:r>
      <w:r>
        <w:rPr>
          <w:rFonts w:asciiTheme="minorHAnsi" w:hAnsiTheme="minorHAnsi" w:cstheme="minorHAnsi"/>
          <w:sz w:val="23"/>
          <w:szCs w:val="23"/>
        </w:rPr>
        <w:t>LEP2024</w:t>
      </w:r>
    </w:p>
    <w:p w14:paraId="785E0AA7" w14:textId="77777777" w:rsidR="00276BA5" w:rsidRDefault="00AF244B" w:rsidP="00276BA5">
      <w:pPr>
        <w:rPr>
          <w:rFonts w:asciiTheme="minorHAnsi" w:hAnsiTheme="minorHAnsi" w:cstheme="minorHAnsi"/>
          <w:b/>
          <w:color w:val="000000" w:themeColor="text1"/>
          <w:szCs w:val="24"/>
        </w:rPr>
      </w:pPr>
      <w:r w:rsidRPr="00E86B2A">
        <w:rPr>
          <w:rFonts w:asciiTheme="minorHAnsi" w:hAnsiTheme="minorHAnsi" w:cstheme="minorHAnsi"/>
          <w:b/>
          <w:color w:val="000000" w:themeColor="text1"/>
          <w:szCs w:val="24"/>
        </w:rPr>
        <w:t>NB – No work should commence until writ</w:t>
      </w:r>
      <w:r w:rsidR="00276BA5">
        <w:rPr>
          <w:rFonts w:asciiTheme="minorHAnsi" w:hAnsiTheme="minorHAnsi" w:cstheme="minorHAnsi"/>
          <w:b/>
          <w:color w:val="000000" w:themeColor="text1"/>
          <w:szCs w:val="24"/>
        </w:rPr>
        <w:t>ten approval has been given</w:t>
      </w:r>
    </w:p>
    <w:p w14:paraId="02006600" w14:textId="77777777" w:rsidR="00276BA5" w:rsidRDefault="00276BA5" w:rsidP="00276BA5">
      <w:pPr>
        <w:rPr>
          <w:rFonts w:asciiTheme="minorHAnsi" w:hAnsiTheme="minorHAnsi" w:cstheme="minorHAnsi"/>
          <w:b/>
          <w:color w:val="000000" w:themeColor="text1"/>
          <w:szCs w:val="24"/>
        </w:rPr>
      </w:pPr>
    </w:p>
    <w:p w14:paraId="47EBB9F5" w14:textId="6455CDB0" w:rsidR="00AF244B" w:rsidRPr="00276BA5" w:rsidRDefault="00276BA5" w:rsidP="00276BA5">
      <w:pPr>
        <w:rPr>
          <w:rFonts w:asciiTheme="minorHAnsi" w:hAnsiTheme="minorHAnsi" w:cstheme="minorHAnsi"/>
          <w:sz w:val="28"/>
          <w:szCs w:val="28"/>
        </w:rPr>
      </w:pPr>
      <w:r w:rsidRPr="00B614F3">
        <w:rPr>
          <w:rFonts w:asciiTheme="minorHAnsi" w:hAnsiTheme="minorHAnsi" w:cstheme="minorHAnsi"/>
          <w:noProof/>
          <w:sz w:val="28"/>
          <w:szCs w:val="28"/>
        </w:rPr>
        <w:drawing>
          <wp:inline distT="0" distB="0" distL="0" distR="0" wp14:anchorId="63808F15" wp14:editId="324074B8">
            <wp:extent cx="5944870" cy="559781"/>
            <wp:effectExtent l="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6" cstate="print"/>
                    <a:srcRect/>
                    <a:stretch>
                      <a:fillRect/>
                    </a:stretch>
                  </pic:blipFill>
                  <pic:spPr bwMode="auto">
                    <a:xfrm>
                      <a:off x="0" y="0"/>
                      <a:ext cx="5944870" cy="559781"/>
                    </a:xfrm>
                    <a:prstGeom prst="rect">
                      <a:avLst/>
                    </a:prstGeom>
                    <a:noFill/>
                    <a:ln w="9525">
                      <a:noFill/>
                      <a:miter lim="800000"/>
                      <a:headEnd/>
                      <a:tailEnd/>
                    </a:ln>
                  </pic:spPr>
                </pic:pic>
              </a:graphicData>
            </a:graphic>
          </wp:inline>
        </w:drawing>
      </w:r>
    </w:p>
    <w:p w14:paraId="3949CF36" w14:textId="77777777" w:rsidR="00AF244B" w:rsidRPr="00E86B2A" w:rsidRDefault="00AF244B" w:rsidP="00AF244B">
      <w:pPr>
        <w:jc w:val="center"/>
        <w:rPr>
          <w:rFonts w:asciiTheme="minorHAnsi" w:hAnsiTheme="minorHAnsi" w:cstheme="minorHAnsi"/>
          <w:b/>
          <w:color w:val="FF0000"/>
          <w:szCs w:val="24"/>
        </w:rPr>
      </w:pPr>
    </w:p>
    <w:p w14:paraId="5F9F10F9" w14:textId="77777777" w:rsidR="00AF244B" w:rsidRPr="00E86B2A" w:rsidRDefault="00AF244B" w:rsidP="00AF244B">
      <w:pPr>
        <w:pStyle w:val="FootnoteText"/>
        <w:rPr>
          <w:rFonts w:asciiTheme="minorHAnsi" w:hAnsiTheme="minorHAnsi" w:cstheme="minorHAnsi"/>
          <w:b/>
          <w:sz w:val="24"/>
          <w:szCs w:val="24"/>
        </w:rPr>
      </w:pPr>
    </w:p>
    <w:p w14:paraId="745B0FCC" w14:textId="77777777" w:rsidR="00AF244B" w:rsidRPr="00E86B2A" w:rsidRDefault="00AF244B" w:rsidP="00AF244B">
      <w:pPr>
        <w:pStyle w:val="FootnoteText"/>
        <w:rPr>
          <w:rFonts w:asciiTheme="minorHAnsi" w:hAnsiTheme="minorHAnsi" w:cstheme="minorHAnsi"/>
          <w:b/>
          <w:sz w:val="24"/>
          <w:szCs w:val="24"/>
        </w:rPr>
      </w:pPr>
      <w:r w:rsidRPr="00E86B2A">
        <w:rPr>
          <w:rFonts w:asciiTheme="minorHAnsi" w:hAnsiTheme="minorHAnsi" w:cstheme="minorHAnsi"/>
          <w:b/>
          <w:sz w:val="24"/>
          <w:szCs w:val="24"/>
        </w:rPr>
        <w:lastRenderedPageBreak/>
        <w:t xml:space="preserve">More information on the LECP is available at </w:t>
      </w:r>
      <w:hyperlink r:id="rId17" w:history="1">
        <w:r w:rsidRPr="00E86B2A">
          <w:rPr>
            <w:rStyle w:val="Hyperlink"/>
            <w:rFonts w:asciiTheme="minorHAnsi" w:hAnsiTheme="minorHAnsi" w:cstheme="minorHAnsi"/>
            <w:b/>
            <w:sz w:val="24"/>
            <w:szCs w:val="24"/>
          </w:rPr>
          <w:t>https://www.meath.ie/business/local-economic-and-community-plan</w:t>
        </w:r>
      </w:hyperlink>
      <w:r w:rsidRPr="00E86B2A">
        <w:rPr>
          <w:rFonts w:asciiTheme="minorHAnsi" w:hAnsiTheme="minorHAnsi" w:cstheme="minorHAnsi"/>
          <w:b/>
          <w:sz w:val="24"/>
          <w:szCs w:val="24"/>
        </w:rPr>
        <w:t xml:space="preserve"> </w:t>
      </w:r>
    </w:p>
    <w:p w14:paraId="647A022A" w14:textId="77777777" w:rsidR="00AF244B" w:rsidRPr="00E86B2A" w:rsidRDefault="00AF244B" w:rsidP="00AF244B">
      <w:pPr>
        <w:pStyle w:val="FootnoteText"/>
        <w:rPr>
          <w:rFonts w:asciiTheme="minorHAnsi" w:hAnsiTheme="minorHAnsi" w:cstheme="minorHAnsi"/>
          <w:b/>
          <w:sz w:val="24"/>
          <w:szCs w:val="24"/>
          <w:u w:val="double"/>
        </w:rPr>
      </w:pPr>
    </w:p>
    <w:p w14:paraId="37B1E53E" w14:textId="77777777" w:rsidR="00AF244B" w:rsidRPr="00395282" w:rsidRDefault="00AF244B" w:rsidP="00AF244B">
      <w:pPr>
        <w:pStyle w:val="FootnoteText"/>
        <w:rPr>
          <w:rFonts w:asciiTheme="minorHAnsi" w:hAnsiTheme="minorHAnsi" w:cstheme="minorHAnsi"/>
          <w:b/>
          <w:sz w:val="22"/>
          <w:szCs w:val="22"/>
          <w:u w:val="double"/>
        </w:rPr>
      </w:pPr>
      <w:r w:rsidRPr="00395282">
        <w:rPr>
          <w:rFonts w:asciiTheme="minorHAnsi" w:hAnsiTheme="minorHAnsi" w:cstheme="minorHAnsi"/>
          <w:b/>
          <w:sz w:val="22"/>
          <w:szCs w:val="22"/>
          <w:u w:val="double"/>
        </w:rPr>
        <w:t>Note in relation to data protection:</w:t>
      </w:r>
    </w:p>
    <w:p w14:paraId="3EB44926" w14:textId="77777777" w:rsidR="00AF244B" w:rsidRPr="00395282" w:rsidRDefault="00AF244B" w:rsidP="00AF244B">
      <w:pPr>
        <w:rPr>
          <w:rFonts w:asciiTheme="minorHAnsi" w:hAnsiTheme="minorHAnsi" w:cstheme="minorHAnsi"/>
          <w:bCs/>
          <w:sz w:val="22"/>
          <w:szCs w:val="22"/>
          <w:lang w:val="en-US"/>
        </w:rPr>
      </w:pPr>
      <w:r w:rsidRPr="00395282">
        <w:rPr>
          <w:rFonts w:asciiTheme="minorHAnsi" w:hAnsiTheme="minorHAnsi" w:cstheme="minorHAnsi"/>
          <w:bCs/>
          <w:sz w:val="22"/>
          <w:szCs w:val="22"/>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t>
      </w:r>
    </w:p>
    <w:p w14:paraId="2567178A" w14:textId="77777777" w:rsidR="00AF244B" w:rsidRPr="00395282" w:rsidRDefault="00BB585F" w:rsidP="00AF244B">
      <w:pPr>
        <w:rPr>
          <w:rFonts w:asciiTheme="minorHAnsi" w:hAnsiTheme="minorHAnsi" w:cstheme="minorHAnsi"/>
          <w:sz w:val="22"/>
          <w:szCs w:val="22"/>
        </w:rPr>
      </w:pPr>
      <w:hyperlink r:id="rId18" w:history="1">
        <w:r w:rsidR="00AF244B" w:rsidRPr="00395282">
          <w:rPr>
            <w:rStyle w:val="Hyperlink"/>
            <w:rFonts w:asciiTheme="minorHAnsi" w:hAnsiTheme="minorHAnsi" w:cstheme="minorHAnsi"/>
            <w:sz w:val="22"/>
            <w:szCs w:val="22"/>
          </w:rPr>
          <w:t>https://www.meath.ie/council/your-council/customer-service-and-communications/data-protection-privacy-statement-for-meath-county-council</w:t>
        </w:r>
      </w:hyperlink>
    </w:p>
    <w:p w14:paraId="7EFECFB6" w14:textId="77777777" w:rsidR="00AF244B" w:rsidRPr="00395282" w:rsidRDefault="00AF244B" w:rsidP="00AF244B">
      <w:pPr>
        <w:rPr>
          <w:rFonts w:asciiTheme="minorHAnsi" w:hAnsiTheme="minorHAnsi" w:cstheme="minorHAnsi"/>
          <w:szCs w:val="24"/>
        </w:rPr>
      </w:pPr>
    </w:p>
    <w:p w14:paraId="10737D5E" w14:textId="77777777" w:rsidR="00AF244B" w:rsidRPr="00B614F3" w:rsidRDefault="00AF244B" w:rsidP="00AF244B">
      <w:pPr>
        <w:tabs>
          <w:tab w:val="left" w:pos="0"/>
          <w:tab w:val="right" w:pos="8901"/>
        </w:tabs>
        <w:rPr>
          <w:rFonts w:asciiTheme="minorHAnsi" w:hAnsiTheme="minorHAnsi" w:cstheme="minorHAnsi"/>
          <w:b/>
          <w:szCs w:val="24"/>
          <w:lang w:eastAsia="en-IE"/>
        </w:rPr>
      </w:pPr>
    </w:p>
    <w:p w14:paraId="2DED47A8" w14:textId="77777777" w:rsidR="00AF244B" w:rsidRDefault="00AF244B" w:rsidP="0025146C">
      <w:pPr>
        <w:tabs>
          <w:tab w:val="left" w:pos="0"/>
          <w:tab w:val="right" w:pos="8901"/>
        </w:tabs>
        <w:rPr>
          <w:rFonts w:ascii="Arial" w:hAnsi="Arial" w:cs="Arial"/>
          <w:b/>
          <w:color w:val="FF0000"/>
          <w:szCs w:val="24"/>
          <w:lang w:eastAsia="en-IE"/>
        </w:rPr>
      </w:pPr>
    </w:p>
    <w:sectPr w:rsidR="00AF244B" w:rsidSect="00647411">
      <w:headerReference w:type="default" r:id="rId19"/>
      <w:footerReference w:type="default" r:id="rId20"/>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926A" w14:textId="77777777" w:rsidR="00395A0A" w:rsidRDefault="00395A0A" w:rsidP="002B003C">
      <w:r>
        <w:separator/>
      </w:r>
    </w:p>
  </w:endnote>
  <w:endnote w:type="continuationSeparator" w:id="0">
    <w:p w14:paraId="310981A9" w14:textId="77777777" w:rsidR="00395A0A" w:rsidRDefault="00395A0A" w:rsidP="002B003C">
      <w:r>
        <w:continuationSeparator/>
      </w:r>
    </w:p>
  </w:endnote>
  <w:endnote w:type="continuationNotice" w:id="1">
    <w:p w14:paraId="655B5CB8" w14:textId="77777777" w:rsidR="00395A0A" w:rsidRDefault="0039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072B48B0"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9B41C4">
          <w:rPr>
            <w:noProof/>
          </w:rPr>
          <w:t>1</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B42D" w14:textId="77777777" w:rsidR="00395A0A" w:rsidRDefault="00395A0A" w:rsidP="002B003C">
      <w:r>
        <w:separator/>
      </w:r>
    </w:p>
  </w:footnote>
  <w:footnote w:type="continuationSeparator" w:id="0">
    <w:p w14:paraId="448C4599" w14:textId="77777777" w:rsidR="00395A0A" w:rsidRDefault="00395A0A" w:rsidP="002B003C">
      <w:r>
        <w:continuationSeparator/>
      </w:r>
    </w:p>
  </w:footnote>
  <w:footnote w:type="continuationNotice" w:id="1">
    <w:p w14:paraId="1FE239A1" w14:textId="77777777" w:rsidR="00395A0A" w:rsidRDefault="00395A0A"/>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0"/>
  <w:activeWritingStyle w:appName="MSWord" w:lang="en-US" w:vendorID="64" w:dllVersion="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6AD7"/>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77997"/>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6BA5"/>
    <w:rsid w:val="00277C61"/>
    <w:rsid w:val="002800A2"/>
    <w:rsid w:val="002802DC"/>
    <w:rsid w:val="00282C68"/>
    <w:rsid w:val="0028378F"/>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587"/>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A0A"/>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0ED2"/>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96F33"/>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C49"/>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316F"/>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1C4"/>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1E84"/>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44B"/>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585F"/>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0F36"/>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16EF"/>
    <w:rsid w:val="00CB3D3D"/>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CF7FC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2AA4"/>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AF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meath.ie/council/your-council/customer-service-and-communications/data-protection-privacy-statement-for-meath-county-counc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hyperlink" Target="https://www.meath.ie/business/local-economic-and-community-pla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yperlink" Target="mailto:communitygrants@meathcoco.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grants@meathcoco.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89F82-AF0E-442C-A9E9-5219ED6AA4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854D4509-4097-4889-9CD6-644890DC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2247</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McDonagh (DRCD)</dc:creator>
  <cp:lastModifiedBy>Alison Lynch</cp:lastModifiedBy>
  <cp:revision>3</cp:revision>
  <cp:lastPrinted>2018-05-30T13:50:00Z</cp:lastPrinted>
  <dcterms:created xsi:type="dcterms:W3CDTF">2023-12-20T17:11:00Z</dcterms:created>
  <dcterms:modified xsi:type="dcterms:W3CDTF">2024-01-17T11:32:00Z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